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footer3.xml.rels" ContentType="application/vnd.openxmlformats-package.relationships+xml"/>
  <Override PartName="/word/_rels/header2.xml.rels" ContentType="application/vnd.openxmlformats-package.relationships+xml"/>
  <Override PartName="/word/_rels/foot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jc w:val="center"/>
        <w:rPr>
          <w:rFonts w:ascii="Verdana" w:hAnsi="Verdana"/>
          <w:sz w:val="20"/>
          <w:szCs w:val="20"/>
        </w:rPr>
      </w:pPr>
      <w:r>
        <w:rPr>
          <w:rFonts w:cs="Verdana" w:ascii="Verdana" w:hAnsi="Verdana"/>
          <w:b/>
          <w:sz w:val="20"/>
          <w:szCs w:val="20"/>
        </w:rPr>
        <w:t>ANEXO III</w:t>
      </w:r>
    </w:p>
    <w:tbl>
      <w:tblPr>
        <w:tblW w:w="9123" w:type="dxa"/>
        <w:jc w:val="left"/>
        <w:tblInd w:w="70" w:type="dxa"/>
        <w:tblLayout w:type="fixed"/>
        <w:tblCellMar>
          <w:top w:w="0" w:type="dxa"/>
          <w:left w:w="70" w:type="dxa"/>
          <w:bottom w:w="0" w:type="dxa"/>
          <w:right w:w="70" w:type="dxa"/>
        </w:tblCellMar>
        <w:tblLook w:firstRow="1" w:noVBand="1" w:lastRow="0" w:firstColumn="1" w:lastColumn="0" w:noHBand="0" w:val="04a0"/>
      </w:tblPr>
      <w:tblGrid>
        <w:gridCol w:w="1993"/>
        <w:gridCol w:w="7129"/>
      </w:tblGrid>
      <w:tr>
        <w:trPr>
          <w:trHeight w:val="285" w:hRule="atLeast"/>
        </w:trPr>
        <w:tc>
          <w:tcPr>
            <w:tcW w:w="1993" w:type="dxa"/>
            <w:tcBorders/>
          </w:tcPr>
          <w:p>
            <w:pPr>
              <w:pStyle w:val="Normal"/>
              <w:widowControl w:val="false"/>
              <w:snapToGrid w:val="false"/>
              <w:spacing w:lineRule="auto" w:line="240"/>
              <w:ind w:hanging="70"/>
              <w:rPr>
                <w:rFonts w:ascii="Verdana" w:hAnsi="Verdana" w:cs="Verdana"/>
                <w:b/>
                <w:sz w:val="20"/>
                <w:szCs w:val="20"/>
              </w:rPr>
            </w:pPr>
            <w:r>
              <w:rPr>
                <w:rFonts w:cs="Verdana" w:ascii="Verdana" w:hAnsi="Verdana"/>
                <w:b/>
                <w:sz w:val="20"/>
                <w:szCs w:val="20"/>
              </w:rPr>
            </w:r>
          </w:p>
        </w:tc>
        <w:tc>
          <w:tcPr>
            <w:tcW w:w="7129" w:type="dxa"/>
            <w:tcBorders/>
          </w:tcPr>
          <w:p>
            <w:pPr>
              <w:pStyle w:val="Normal"/>
              <w:widowControl w:val="false"/>
              <w:spacing w:lineRule="auto" w:line="240"/>
              <w:ind w:left="-70"/>
              <w:jc w:val="center"/>
              <w:rPr>
                <w:rFonts w:ascii="Verdana" w:hAnsi="Verdana"/>
                <w:sz w:val="20"/>
                <w:szCs w:val="20"/>
              </w:rPr>
            </w:pPr>
            <w:r>
              <w:rPr>
                <w:rFonts w:cs="Verdana" w:ascii="Verdana" w:hAnsi="Verdana"/>
                <w:b/>
                <w:sz w:val="20"/>
                <w:szCs w:val="20"/>
              </w:rPr>
              <w:t>MINUTA DE CONTRATO  Nº ___.</w:t>
            </w:r>
          </w:p>
        </w:tc>
      </w:tr>
    </w:tbl>
    <w:p>
      <w:pPr>
        <w:pStyle w:val="Normal"/>
        <w:spacing w:lineRule="auto" w:line="240"/>
        <w:jc w:val="both"/>
        <w:rPr>
          <w:rFonts w:ascii="Verdana" w:hAnsi="Verdana" w:cs="Verdana"/>
          <w:sz w:val="20"/>
          <w:szCs w:val="20"/>
        </w:rPr>
      </w:pPr>
      <w:r>
        <w:rPr>
          <w:rFonts w:cs="Verdana" w:ascii="Verdana" w:hAnsi="Verdana"/>
          <w:sz w:val="20"/>
          <w:szCs w:val="20"/>
        </w:rPr>
      </w:r>
    </w:p>
    <w:p>
      <w:pPr>
        <w:pStyle w:val="ITENSDOCONTRATO"/>
        <w:spacing w:lineRule="auto" w:line="240" w:before="0" w:after="0"/>
        <w:ind w:hanging="0" w:left="0"/>
        <w:jc w:val="center"/>
        <w:rPr>
          <w:rFonts w:ascii="Verdana" w:hAnsi="Verdana" w:cs="Verdana"/>
          <w:b/>
          <w:bCs w:val="false"/>
          <w:sz w:val="20"/>
          <w:szCs w:val="20"/>
        </w:rPr>
      </w:pPr>
      <w:r>
        <w:rPr>
          <w:rFonts w:cs="Verdana" w:ascii="Verdana" w:hAnsi="Verdana"/>
          <w:b/>
          <w:bCs w:val="false"/>
          <w:sz w:val="20"/>
          <w:szCs w:val="20"/>
        </w:rPr>
      </w:r>
    </w:p>
    <w:p>
      <w:pPr>
        <w:pStyle w:val="Normal"/>
        <w:spacing w:lineRule="auto" w:line="240" w:before="0" w:after="0"/>
        <w:ind w:hanging="0" w:left="0"/>
        <w:jc w:val="both"/>
        <w:rPr>
          <w:rFonts w:ascii="Verdana" w:hAnsi="Verdana"/>
          <w:sz w:val="20"/>
          <w:szCs w:val="20"/>
        </w:rPr>
      </w:pPr>
      <w:r>
        <w:rPr>
          <w:rFonts w:cs="Verdana" w:ascii="Verdana" w:hAnsi="Verdana"/>
          <w:b/>
          <w:sz w:val="20"/>
          <w:szCs w:val="20"/>
          <w:u w:val="single"/>
        </w:rPr>
        <w:t>PREÂMBULO</w:t>
      </w:r>
    </w:p>
    <w:p>
      <w:pPr>
        <w:pStyle w:val="Normal"/>
        <w:spacing w:lineRule="auto" w:line="240" w:before="0" w:after="0"/>
        <w:ind w:hanging="0" w:left="0"/>
        <w:jc w:val="both"/>
        <w:rPr>
          <w:rFonts w:ascii="Verdana" w:hAnsi="Verdana"/>
          <w:sz w:val="20"/>
          <w:szCs w:val="20"/>
        </w:rPr>
      </w:pPr>
      <w:r>
        <w:rPr>
          <w:rFonts w:cs="Verdana" w:ascii="Verdana" w:hAnsi="Verdana"/>
          <w:b/>
          <w:sz w:val="20"/>
          <w:szCs w:val="20"/>
        </w:rPr>
        <w:t>a) CONTRATANTES</w:t>
      </w:r>
      <w:r>
        <w:rPr>
          <w:rFonts w:cs="Verdana" w:ascii="Verdana" w:hAnsi="Verdana"/>
          <w:sz w:val="20"/>
          <w:szCs w:val="20"/>
        </w:rPr>
        <w:t>: O Município de São Gabriel da Palha, com sua sede na Praça Vicente Glazar, nº 159, nesta cidade, inscrito no CNPJ sob o Nº 27.174.143/0001-76, a seguir denominado simplesmente CONTRATANTE e a empresa ___________, estabelecida à ___________ doravante denominada simplesmente CONTRATADA.</w:t>
      </w:r>
    </w:p>
    <w:p>
      <w:pPr>
        <w:pStyle w:val="Normal"/>
        <w:tabs>
          <w:tab w:val="clear" w:pos="708"/>
          <w:tab w:val="left" w:pos="0" w:leader="none"/>
        </w:tabs>
        <w:spacing w:lineRule="auto" w:line="240" w:before="0" w:after="0"/>
        <w:ind w:hanging="0" w:left="0"/>
        <w:jc w:val="both"/>
        <w:rPr>
          <w:rFonts w:ascii="Verdana" w:hAnsi="Verdana"/>
          <w:sz w:val="20"/>
          <w:szCs w:val="20"/>
        </w:rPr>
      </w:pPr>
      <w:r>
        <w:rPr>
          <w:rFonts w:cs="Verdana" w:ascii="Verdana" w:hAnsi="Verdana"/>
          <w:b/>
          <w:sz w:val="20"/>
          <w:szCs w:val="20"/>
        </w:rPr>
        <w:t>b) LOCAL E DATA</w:t>
      </w:r>
      <w:r>
        <w:rPr>
          <w:rFonts w:cs="Verdana" w:ascii="Verdana" w:hAnsi="Verdana"/>
          <w:sz w:val="20"/>
          <w:szCs w:val="20"/>
        </w:rPr>
        <w:t>: Lavrado e assinado nesta cidade, na Praça Vicente Glazar, nº 159, sede da Prefeitura Municipal de São Gabriel da Palha no dia ___ do mês de ______ do ano de 2024.</w:t>
      </w:r>
    </w:p>
    <w:p>
      <w:pPr>
        <w:pStyle w:val="Normal"/>
        <w:tabs>
          <w:tab w:val="clear" w:pos="708"/>
          <w:tab w:val="left" w:pos="0" w:leader="none"/>
        </w:tabs>
        <w:spacing w:lineRule="auto" w:line="240" w:before="0" w:after="0"/>
        <w:ind w:hanging="0" w:left="0"/>
        <w:jc w:val="both"/>
        <w:rPr>
          <w:rFonts w:ascii="Verdana" w:hAnsi="Verdana"/>
          <w:sz w:val="20"/>
          <w:szCs w:val="20"/>
        </w:rPr>
      </w:pPr>
      <w:r>
        <w:rPr>
          <w:rFonts w:cs="Verdana" w:ascii="Verdana" w:hAnsi="Verdana"/>
          <w:b/>
          <w:sz w:val="20"/>
          <w:szCs w:val="20"/>
        </w:rPr>
        <w:t>c) REPRESENTANTES</w:t>
      </w:r>
      <w:r>
        <w:rPr>
          <w:rFonts w:cs="Verdana" w:ascii="Verdana" w:hAnsi="Verdana"/>
          <w:sz w:val="20"/>
          <w:szCs w:val="20"/>
        </w:rPr>
        <w:t>: Representa o CONTRATANTE, o Senhor ____________, Prefeito Municipal, brasileiro, casado, residente na _________, nesta cidade, inscrito no CPF/MF sob o n.º ___________ e a CONTRATADA __________.</w:t>
      </w:r>
      <w:r>
        <w:rPr>
          <w:rFonts w:eastAsia="Calibri" w:cs="Arial" w:ascii="Verdana" w:hAnsi="Verdana"/>
          <w:bCs/>
          <w:color w:val="000000"/>
          <w:sz w:val="20"/>
          <w:szCs w:val="20"/>
        </w:rPr>
        <w:t xml:space="preserve"> tendo em vista o que consta no </w:t>
      </w:r>
      <w:r>
        <w:rPr>
          <w:rFonts w:eastAsia="Calibri" w:cs="Arial" w:ascii="Verdana" w:hAnsi="Verdana"/>
          <w:b/>
          <w:bCs/>
          <w:color w:val="000000"/>
          <w:sz w:val="20"/>
          <w:szCs w:val="20"/>
        </w:rPr>
        <w:t>Processo Administrativo nº 0</w:t>
      </w:r>
      <w:r>
        <w:rPr>
          <w:rFonts w:eastAsia="Calibri" w:cs="Arial" w:ascii="Verdana" w:hAnsi="Verdana"/>
          <w:b/>
          <w:bCs/>
          <w:color w:val="000000"/>
          <w:sz w:val="20"/>
          <w:szCs w:val="20"/>
        </w:rPr>
        <w:t>2884</w:t>
      </w:r>
      <w:r>
        <w:rPr>
          <w:rFonts w:eastAsia="Calibri" w:cs="Arial" w:ascii="Verdana" w:hAnsi="Verdana"/>
          <w:b/>
          <w:bCs/>
          <w:color w:val="000000"/>
          <w:sz w:val="20"/>
          <w:szCs w:val="20"/>
        </w:rPr>
        <w:t>/202</w:t>
      </w:r>
      <w:r>
        <w:rPr>
          <w:rFonts w:eastAsia="Calibri" w:cs="Arial" w:ascii="Verdana" w:hAnsi="Verdana"/>
          <w:b/>
          <w:bCs/>
          <w:color w:val="000000"/>
          <w:sz w:val="20"/>
          <w:szCs w:val="20"/>
        </w:rPr>
        <w:t>6</w:t>
      </w:r>
      <w:r>
        <w:rPr>
          <w:rFonts w:eastAsia="Calibri" w:cs="Arial" w:ascii="Verdana" w:hAnsi="Verdana"/>
          <w:b/>
          <w:bCs/>
          <w:color w:val="000000"/>
          <w:sz w:val="20"/>
          <w:szCs w:val="20"/>
        </w:rPr>
        <w:t>, Pregão Eletrônico nº 0</w:t>
      </w:r>
      <w:r>
        <w:rPr>
          <w:rFonts w:eastAsia="Calibri" w:cs="Arial" w:ascii="Verdana" w:hAnsi="Verdana"/>
          <w:b/>
          <w:bCs/>
          <w:color w:val="000000"/>
          <w:sz w:val="20"/>
          <w:szCs w:val="20"/>
        </w:rPr>
        <w:t>14</w:t>
      </w:r>
      <w:r>
        <w:rPr>
          <w:rFonts w:eastAsia="Calibri" w:cs="Arial" w:ascii="Verdana" w:hAnsi="Verdana"/>
          <w:b/>
          <w:bCs/>
          <w:color w:val="000000"/>
          <w:sz w:val="20"/>
          <w:szCs w:val="20"/>
        </w:rPr>
        <w:t>/202</w:t>
      </w:r>
      <w:r>
        <w:rPr>
          <w:rFonts w:eastAsia="Calibri" w:cs="Arial" w:ascii="Verdana" w:hAnsi="Verdana"/>
          <w:b/>
          <w:bCs/>
          <w:color w:val="000000"/>
          <w:sz w:val="20"/>
          <w:szCs w:val="20"/>
        </w:rPr>
        <w:t>6</w:t>
      </w:r>
      <w:r>
        <w:rPr>
          <w:rFonts w:eastAsia="Calibri" w:cs="Arial" w:ascii="Verdana" w:hAnsi="Verdana"/>
          <w:bCs/>
          <w:color w:val="000000"/>
          <w:sz w:val="20"/>
          <w:szCs w:val="20"/>
        </w:rPr>
        <w:t>,</w:t>
      </w:r>
      <w:r>
        <w:rPr>
          <w:rFonts w:eastAsia="Calibri" w:cs="Arial" w:ascii="Verdana" w:hAnsi="Verdana"/>
          <w:b/>
          <w:bCs/>
          <w:color w:val="000000"/>
          <w:sz w:val="20"/>
          <w:szCs w:val="20"/>
        </w:rPr>
        <w:t xml:space="preserve"> </w:t>
      </w:r>
      <w:r>
        <w:rPr>
          <w:rFonts w:eastAsia="Times New Roman" w:cs="Arial" w:ascii="Verdana" w:hAnsi="Verdana"/>
          <w:color w:val="000000"/>
          <w:sz w:val="20"/>
          <w:szCs w:val="20"/>
        </w:rPr>
        <w:t>resolvem celebrar este Termo de Contrato decorrente de contratação direta por dispensa de licitação, em observância às disposições da Lei nº 14.133, de 1º de abril de 2021, demais legislações aplicáveis, e ainda, nos casos omissos aplicar-se-á o art. 89 do mesmo diploma legal. Este Contrato será regido mediante as cláusulas e condições a seguir enunciadas:</w:t>
      </w:r>
    </w:p>
    <w:p>
      <w:pPr>
        <w:pStyle w:val="Normal"/>
        <w:tabs>
          <w:tab w:val="clear" w:pos="708"/>
          <w:tab w:val="left" w:pos="0" w:leader="none"/>
        </w:tabs>
        <w:spacing w:lineRule="auto" w:line="240" w:before="0" w:after="0"/>
        <w:ind w:hanging="0" w:left="0"/>
        <w:jc w:val="both"/>
        <w:rPr>
          <w:rFonts w:ascii="Verdana" w:hAnsi="Verdana" w:eastAsia="Times New Roman" w:cs="Arial"/>
          <w:color w:val="000000"/>
          <w:sz w:val="20"/>
          <w:szCs w:val="20"/>
        </w:rPr>
      </w:pPr>
      <w:r>
        <w:rPr>
          <w:rFonts w:eastAsia="Times New Roman" w:cs="Arial" w:ascii="Verdana" w:hAnsi="Verdana"/>
          <w:color w:val="000000"/>
          <w:sz w:val="20"/>
          <w:szCs w:val="20"/>
        </w:rPr>
      </w:r>
    </w:p>
    <w:p>
      <w:pPr>
        <w:pStyle w:val="CLUSULA"/>
        <w:spacing w:lineRule="auto" w:line="240" w:before="0" w:after="0"/>
        <w:ind w:hanging="0" w:left="0"/>
        <w:rPr>
          <w:rFonts w:ascii="Verdana" w:hAnsi="Verdana"/>
          <w:sz w:val="20"/>
          <w:szCs w:val="20"/>
        </w:rPr>
      </w:pPr>
      <w:r>
        <w:rPr>
          <w:rFonts w:ascii="Verdana" w:hAnsi="Verdana"/>
          <w:sz w:val="20"/>
          <w:szCs w:val="20"/>
        </w:rPr>
        <w:t>CLÁUSULA PRIMEIRA – DO OBJETO</w:t>
      </w:r>
    </w:p>
    <w:p>
      <w:pPr>
        <w:pStyle w:val="ITENSDOCONTRATO"/>
        <w:widowControl/>
        <w:suppressAutoHyphens w:val="true"/>
        <w:overflowPunct w:val="false"/>
        <w:bidi w:val="0"/>
        <w:spacing w:lineRule="auto" w:line="240" w:before="0" w:after="0"/>
        <w:ind w:hanging="0" w:left="0"/>
        <w:jc w:val="both"/>
        <w:textAlignment w:val="baseline"/>
        <w:rPr>
          <w:rFonts w:ascii="Verdana" w:hAnsi="Verdana"/>
          <w:sz w:val="20"/>
          <w:szCs w:val="20"/>
        </w:rPr>
      </w:pPr>
      <w:r>
        <w:rPr>
          <w:rFonts w:ascii="Verdana" w:hAnsi="Verdana"/>
          <w:sz w:val="20"/>
          <w:szCs w:val="20"/>
        </w:rPr>
        <w:t xml:space="preserve">1.1 – Constitui objeto deste Instrumento a </w:t>
      </w:r>
      <w:r>
        <w:rPr>
          <w:rFonts w:cs="Arial" w:ascii="Verdana" w:hAnsi="Verdana"/>
          <w:color w:val="000000"/>
          <w:sz w:val="20"/>
          <w:szCs w:val="20"/>
        </w:rPr>
        <w:t>Aquisição de medicamento pactuado para atender as necessidades da F</w:t>
      </w:r>
      <w:bookmarkStart w:id="0" w:name="_Hlk171322521"/>
      <w:r>
        <w:rPr>
          <w:rFonts w:cs="Verdana" w:ascii="Verdana" w:hAnsi="Verdana"/>
          <w:bCs/>
          <w:sz w:val="20"/>
          <w:szCs w:val="20"/>
        </w:rPr>
        <w:t>armácia Básica Municipal através da Secretaria Municipal de Saúde, deste município</w:t>
      </w:r>
      <w:bookmarkEnd w:id="0"/>
      <w:r>
        <w:rPr>
          <w:rFonts w:eastAsia="Batang;바탕" w:cs="Arial" w:ascii="Verdana" w:hAnsi="Verdana"/>
          <w:color w:val="000000"/>
          <w:kern w:val="2"/>
          <w:sz w:val="20"/>
          <w:szCs w:val="20"/>
          <w:lang w:eastAsia="en-US" w:bidi="pt-BR"/>
        </w:rPr>
        <w:t>, conforme c</w:t>
      </w:r>
      <w:r>
        <w:rPr>
          <w:rFonts w:cs="Arial" w:ascii="Verdana" w:hAnsi="Verdana"/>
          <w:sz w:val="20"/>
          <w:szCs w:val="20"/>
        </w:rPr>
        <w:t>ondições e exigências estabelecidas neste Edital e seus anexos.</w:t>
      </w:r>
      <w:r>
        <w:rPr>
          <w:rFonts w:cs="Arial" w:ascii="Verdana" w:hAnsi="Verdana"/>
          <w:color w:val="auto"/>
          <w:kern w:val="0"/>
          <w:sz w:val="20"/>
          <w:szCs w:val="20"/>
          <w:lang w:val="pt-BR" w:eastAsia="zh-CN" w:bidi="ar-SA"/>
        </w:rPr>
        <w:t xml:space="preserve"> </w:t>
      </w:r>
    </w:p>
    <w:p>
      <w:pPr>
        <w:pStyle w:val="ITENSDOCONTRATO"/>
        <w:widowControl/>
        <w:suppressAutoHyphens w:val="true"/>
        <w:overflowPunct w:val="false"/>
        <w:bidi w:val="0"/>
        <w:spacing w:lineRule="auto" w:line="240" w:before="0" w:after="0"/>
        <w:ind w:hanging="0" w:left="0"/>
        <w:jc w:val="both"/>
        <w:textAlignment w:val="baseline"/>
        <w:rPr>
          <w:rFonts w:ascii="Verdana" w:hAnsi="Verdana" w:cs="Arial"/>
          <w:color w:val="auto"/>
          <w:kern w:val="0"/>
          <w:sz w:val="20"/>
          <w:szCs w:val="20"/>
          <w:lang w:val="pt-BR" w:eastAsia="zh-CN" w:bidi="ar-SA"/>
        </w:rPr>
      </w:pPr>
      <w:r>
        <w:rPr>
          <w:rFonts w:cs="Arial" w:ascii="Verdana" w:hAnsi="Verdana"/>
          <w:color w:val="auto"/>
          <w:kern w:val="0"/>
          <w:sz w:val="20"/>
          <w:szCs w:val="20"/>
          <w:lang w:val="pt-BR" w:eastAsia="zh-CN" w:bidi="ar-SA"/>
        </w:rPr>
      </w:r>
    </w:p>
    <w:tbl>
      <w:tblPr>
        <w:tblW w:w="9180" w:type="dxa"/>
        <w:jc w:val="left"/>
        <w:tblInd w:w="92" w:type="dxa"/>
        <w:tblLayout w:type="fixed"/>
        <w:tblCellMar>
          <w:top w:w="0" w:type="dxa"/>
          <w:left w:w="108" w:type="dxa"/>
          <w:bottom w:w="0" w:type="dxa"/>
          <w:right w:w="108" w:type="dxa"/>
        </w:tblCellMar>
        <w:tblLook w:firstRow="1" w:noVBand="1" w:lastRow="0" w:firstColumn="1" w:lastColumn="0" w:noHBand="0" w:val="04a0"/>
      </w:tblPr>
      <w:tblGrid>
        <w:gridCol w:w="898"/>
        <w:gridCol w:w="2162"/>
        <w:gridCol w:w="1290"/>
        <w:gridCol w:w="1200"/>
        <w:gridCol w:w="1816"/>
        <w:gridCol w:w="1813"/>
      </w:tblGrid>
      <w:tr>
        <w:trPr>
          <w:trHeight w:val="330" w:hRule="atLeast"/>
        </w:trPr>
        <w:tc>
          <w:tcPr>
            <w:tcW w:w="898" w:type="dxa"/>
            <w:tcBorders>
              <w:top w:val="single" w:sz="4" w:space="0" w:color="000000"/>
              <w:left w:val="single" w:sz="4" w:space="0" w:color="000000"/>
              <w:bottom w:val="single" w:sz="4" w:space="0" w:color="000000"/>
            </w:tcBorders>
          </w:tcPr>
          <w:p>
            <w:pPr>
              <w:pStyle w:val="Normal"/>
              <w:widowControl w:val="false"/>
              <w:spacing w:lineRule="auto" w:line="240" w:before="0" w:after="29"/>
              <w:jc w:val="center"/>
              <w:rPr>
                <w:rFonts w:ascii="Verdana" w:hAnsi="Verdana"/>
                <w:sz w:val="20"/>
                <w:szCs w:val="20"/>
              </w:rPr>
            </w:pPr>
            <w:r>
              <w:rPr>
                <w:rFonts w:cs="Verdana" w:ascii="Verdana" w:hAnsi="Verdana"/>
                <w:b/>
                <w:sz w:val="20"/>
                <w:szCs w:val="20"/>
              </w:rPr>
              <w:t>ITEM</w:t>
            </w:r>
          </w:p>
        </w:tc>
        <w:tc>
          <w:tcPr>
            <w:tcW w:w="2162" w:type="dxa"/>
            <w:tcBorders>
              <w:top w:val="single" w:sz="4" w:space="0" w:color="000000"/>
              <w:left w:val="single" w:sz="4" w:space="0" w:color="000000"/>
              <w:bottom w:val="single" w:sz="4" w:space="0" w:color="000000"/>
            </w:tcBorders>
          </w:tcPr>
          <w:p>
            <w:pPr>
              <w:pStyle w:val="Normal"/>
              <w:widowControl w:val="false"/>
              <w:spacing w:lineRule="auto" w:line="240" w:before="0" w:after="29"/>
              <w:jc w:val="center"/>
              <w:rPr>
                <w:rFonts w:ascii="Verdana" w:hAnsi="Verdana"/>
                <w:sz w:val="20"/>
                <w:szCs w:val="20"/>
              </w:rPr>
            </w:pPr>
            <w:r>
              <w:rPr>
                <w:rFonts w:cs="Verdana" w:ascii="Verdana" w:hAnsi="Verdana"/>
                <w:b/>
                <w:sz w:val="20"/>
                <w:szCs w:val="20"/>
              </w:rPr>
              <w:t>DESCRIÇÃO</w:t>
            </w:r>
          </w:p>
        </w:tc>
        <w:tc>
          <w:tcPr>
            <w:tcW w:w="1290" w:type="dxa"/>
            <w:tcBorders>
              <w:top w:val="single" w:sz="4" w:space="0" w:color="000000"/>
              <w:left w:val="single" w:sz="4" w:space="0" w:color="000000"/>
              <w:bottom w:val="single" w:sz="4" w:space="0" w:color="000000"/>
            </w:tcBorders>
          </w:tcPr>
          <w:p>
            <w:pPr>
              <w:pStyle w:val="Normal"/>
              <w:widowControl w:val="false"/>
              <w:spacing w:lineRule="auto" w:line="240" w:before="0" w:after="29"/>
              <w:jc w:val="center"/>
              <w:rPr>
                <w:rFonts w:ascii="Verdana" w:hAnsi="Verdana"/>
                <w:sz w:val="20"/>
                <w:szCs w:val="20"/>
              </w:rPr>
            </w:pPr>
            <w:r>
              <w:rPr>
                <w:rFonts w:ascii="Verdana" w:hAnsi="Verdana"/>
                <w:b/>
                <w:bCs/>
                <w:sz w:val="20"/>
                <w:szCs w:val="20"/>
              </w:rPr>
              <w:t>UNIDADE</w:t>
            </w:r>
          </w:p>
        </w:tc>
        <w:tc>
          <w:tcPr>
            <w:tcW w:w="1200" w:type="dxa"/>
            <w:tcBorders>
              <w:top w:val="single" w:sz="4" w:space="0" w:color="000000"/>
              <w:left w:val="single" w:sz="4" w:space="0" w:color="000000"/>
              <w:bottom w:val="single" w:sz="4" w:space="0" w:color="000000"/>
            </w:tcBorders>
          </w:tcPr>
          <w:p>
            <w:pPr>
              <w:pStyle w:val="Normal"/>
              <w:widowControl w:val="false"/>
              <w:spacing w:lineRule="auto" w:line="240" w:before="0" w:after="29"/>
              <w:jc w:val="center"/>
              <w:rPr>
                <w:rFonts w:ascii="Verdana" w:hAnsi="Verdana"/>
                <w:sz w:val="20"/>
                <w:szCs w:val="20"/>
              </w:rPr>
            </w:pPr>
            <w:r>
              <w:rPr>
                <w:rFonts w:ascii="Verdana" w:hAnsi="Verdana"/>
                <w:b/>
                <w:bCs/>
                <w:sz w:val="20"/>
                <w:szCs w:val="20"/>
              </w:rPr>
              <w:t>QUANT.</w:t>
            </w:r>
          </w:p>
        </w:tc>
        <w:tc>
          <w:tcPr>
            <w:tcW w:w="1816" w:type="dxa"/>
            <w:tcBorders>
              <w:top w:val="single" w:sz="4" w:space="0" w:color="000000"/>
              <w:left w:val="single" w:sz="4" w:space="0" w:color="000000"/>
              <w:bottom w:val="single" w:sz="4" w:space="0" w:color="000000"/>
            </w:tcBorders>
          </w:tcPr>
          <w:p>
            <w:pPr>
              <w:pStyle w:val="Normal"/>
              <w:widowControl w:val="false"/>
              <w:spacing w:lineRule="auto" w:line="240" w:before="0" w:after="29"/>
              <w:jc w:val="center"/>
              <w:rPr>
                <w:rFonts w:ascii="Verdana" w:hAnsi="Verdana"/>
                <w:sz w:val="20"/>
                <w:szCs w:val="20"/>
              </w:rPr>
            </w:pPr>
            <w:r>
              <w:rPr>
                <w:rFonts w:ascii="Verdana" w:hAnsi="Verdana"/>
                <w:b/>
                <w:bCs/>
                <w:sz w:val="20"/>
                <w:szCs w:val="20"/>
              </w:rPr>
              <w:t>VALOR UNIT.</w:t>
            </w:r>
          </w:p>
        </w:tc>
        <w:tc>
          <w:tcPr>
            <w:tcW w:w="181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29"/>
              <w:jc w:val="center"/>
              <w:rPr>
                <w:rFonts w:ascii="Verdana" w:hAnsi="Verdana"/>
                <w:sz w:val="20"/>
                <w:szCs w:val="20"/>
              </w:rPr>
            </w:pPr>
            <w:r>
              <w:rPr>
                <w:rFonts w:ascii="Verdana" w:hAnsi="Verdana"/>
                <w:b/>
                <w:bCs/>
                <w:sz w:val="20"/>
                <w:szCs w:val="20"/>
              </w:rPr>
              <w:t>VALOR TOTAL</w:t>
            </w:r>
          </w:p>
        </w:tc>
      </w:tr>
      <w:tr>
        <w:trPr/>
        <w:tc>
          <w:tcPr>
            <w:tcW w:w="898" w:type="dxa"/>
            <w:tcBorders>
              <w:top w:val="single" w:sz="4" w:space="0" w:color="000000"/>
              <w:left w:val="single" w:sz="4" w:space="0" w:color="000000"/>
              <w:bottom w:val="single" w:sz="4" w:space="0" w:color="000000"/>
            </w:tcBorders>
          </w:tcPr>
          <w:p>
            <w:pPr>
              <w:pStyle w:val="Normal"/>
              <w:widowControl w:val="false"/>
              <w:spacing w:lineRule="auto" w:line="240" w:before="0" w:after="29"/>
              <w:jc w:val="center"/>
              <w:rPr>
                <w:rFonts w:ascii="Verdana" w:hAnsi="Verdana" w:cs="Verdana"/>
                <w:b/>
                <w:bCs/>
                <w:sz w:val="20"/>
                <w:szCs w:val="20"/>
              </w:rPr>
            </w:pPr>
            <w:r>
              <w:rPr>
                <w:rFonts w:cs="Verdana" w:ascii="Verdana" w:hAnsi="Verdana"/>
                <w:b/>
                <w:bCs/>
                <w:sz w:val="20"/>
                <w:szCs w:val="20"/>
              </w:rPr>
            </w:r>
          </w:p>
        </w:tc>
        <w:tc>
          <w:tcPr>
            <w:tcW w:w="2162" w:type="dxa"/>
            <w:tcBorders>
              <w:top w:val="single" w:sz="4" w:space="0" w:color="000000"/>
              <w:left w:val="single" w:sz="4" w:space="0" w:color="000000"/>
              <w:bottom w:val="single" w:sz="4" w:space="0" w:color="000000"/>
            </w:tcBorders>
          </w:tcPr>
          <w:p>
            <w:pPr>
              <w:pStyle w:val="Normal"/>
              <w:widowControl w:val="false"/>
              <w:spacing w:lineRule="auto" w:line="240" w:before="0" w:after="29"/>
              <w:jc w:val="both"/>
              <w:rPr>
                <w:rFonts w:ascii="Verdana" w:hAnsi="Verdana" w:cs="Verdana"/>
                <w:b/>
                <w:sz w:val="20"/>
                <w:szCs w:val="20"/>
              </w:rPr>
            </w:pPr>
            <w:r>
              <w:rPr>
                <w:rFonts w:cs="Verdana" w:ascii="Verdana" w:hAnsi="Verdana"/>
                <w:b/>
                <w:sz w:val="20"/>
                <w:szCs w:val="20"/>
              </w:rPr>
            </w:r>
          </w:p>
        </w:tc>
        <w:tc>
          <w:tcPr>
            <w:tcW w:w="1290" w:type="dxa"/>
            <w:tcBorders>
              <w:top w:val="single" w:sz="4" w:space="0" w:color="000000"/>
              <w:left w:val="single" w:sz="4" w:space="0" w:color="000000"/>
              <w:bottom w:val="single" w:sz="4" w:space="0" w:color="000000"/>
            </w:tcBorders>
          </w:tcPr>
          <w:p>
            <w:pPr>
              <w:pStyle w:val="Normal"/>
              <w:widowControl w:val="false"/>
              <w:spacing w:lineRule="auto" w:line="240" w:before="0" w:after="29"/>
              <w:jc w:val="both"/>
              <w:rPr>
                <w:rFonts w:ascii="Verdana" w:hAnsi="Verdana" w:cs="Verdana"/>
                <w:b/>
                <w:sz w:val="20"/>
                <w:szCs w:val="20"/>
              </w:rPr>
            </w:pPr>
            <w:r>
              <w:rPr>
                <w:rFonts w:cs="Verdana" w:ascii="Verdana" w:hAnsi="Verdana"/>
                <w:b/>
                <w:sz w:val="20"/>
                <w:szCs w:val="20"/>
              </w:rPr>
            </w:r>
          </w:p>
        </w:tc>
        <w:tc>
          <w:tcPr>
            <w:tcW w:w="1200" w:type="dxa"/>
            <w:tcBorders>
              <w:top w:val="single" w:sz="4" w:space="0" w:color="000000"/>
              <w:left w:val="single" w:sz="4" w:space="0" w:color="000000"/>
              <w:bottom w:val="single" w:sz="4" w:space="0" w:color="000000"/>
            </w:tcBorders>
          </w:tcPr>
          <w:p>
            <w:pPr>
              <w:pStyle w:val="Normal"/>
              <w:widowControl w:val="false"/>
              <w:spacing w:lineRule="auto" w:line="240" w:before="0" w:after="29"/>
              <w:jc w:val="both"/>
              <w:rPr>
                <w:rFonts w:ascii="Verdana" w:hAnsi="Verdana" w:cs="Verdana"/>
                <w:b/>
                <w:sz w:val="20"/>
                <w:szCs w:val="20"/>
              </w:rPr>
            </w:pPr>
            <w:r>
              <w:rPr>
                <w:rFonts w:cs="Verdana" w:ascii="Verdana" w:hAnsi="Verdana"/>
                <w:b/>
                <w:sz w:val="20"/>
                <w:szCs w:val="20"/>
              </w:rPr>
            </w:r>
          </w:p>
        </w:tc>
        <w:tc>
          <w:tcPr>
            <w:tcW w:w="1816" w:type="dxa"/>
            <w:tcBorders>
              <w:top w:val="single" w:sz="4" w:space="0" w:color="000000"/>
              <w:left w:val="single" w:sz="4" w:space="0" w:color="000000"/>
              <w:bottom w:val="single" w:sz="4" w:space="0" w:color="000000"/>
            </w:tcBorders>
          </w:tcPr>
          <w:p>
            <w:pPr>
              <w:pStyle w:val="Normal"/>
              <w:widowControl w:val="false"/>
              <w:spacing w:lineRule="auto" w:line="240" w:before="0" w:after="29"/>
              <w:jc w:val="both"/>
              <w:rPr>
                <w:rFonts w:ascii="Verdana" w:hAnsi="Verdana" w:cs="Verdana"/>
                <w:b/>
                <w:sz w:val="20"/>
                <w:szCs w:val="20"/>
              </w:rPr>
            </w:pPr>
            <w:r>
              <w:rPr>
                <w:rFonts w:cs="Verdana" w:ascii="Verdana" w:hAnsi="Verdana"/>
                <w:b/>
                <w:sz w:val="20"/>
                <w:szCs w:val="20"/>
              </w:rPr>
            </w:r>
          </w:p>
        </w:tc>
        <w:tc>
          <w:tcPr>
            <w:tcW w:w="181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29"/>
              <w:jc w:val="both"/>
              <w:rPr>
                <w:rFonts w:ascii="Verdana" w:hAnsi="Verdana" w:cs="Verdana"/>
                <w:b/>
                <w:sz w:val="20"/>
                <w:szCs w:val="20"/>
              </w:rPr>
            </w:pPr>
            <w:r>
              <w:rPr>
                <w:rFonts w:cs="Verdana" w:ascii="Verdana" w:hAnsi="Verdana"/>
                <w:b/>
                <w:sz w:val="20"/>
                <w:szCs w:val="20"/>
              </w:rPr>
            </w:r>
          </w:p>
        </w:tc>
      </w:tr>
    </w:tbl>
    <w:p>
      <w:pPr>
        <w:pStyle w:val="ITENSDOCONTRATO"/>
        <w:spacing w:lineRule="auto" w:line="240" w:before="0" w:after="0"/>
        <w:ind w:hanging="0" w:left="0"/>
        <w:rPr>
          <w:rFonts w:ascii="Verdana" w:hAnsi="Verdana"/>
          <w:b/>
          <w:sz w:val="20"/>
          <w:szCs w:val="20"/>
        </w:rPr>
      </w:pPr>
      <w:r>
        <w:rPr>
          <w:rFonts w:ascii="Verdana" w:hAnsi="Verdana"/>
          <w:b/>
          <w:sz w:val="20"/>
          <w:szCs w:val="20"/>
        </w:rPr>
      </w:r>
    </w:p>
    <w:p>
      <w:pPr>
        <w:pStyle w:val="ITENSDOCONTRATO"/>
        <w:spacing w:lineRule="auto" w:line="240" w:before="0" w:after="0"/>
        <w:ind w:hanging="0" w:left="0"/>
        <w:rPr>
          <w:rFonts w:ascii="Verdana" w:hAnsi="Verdana"/>
          <w:sz w:val="20"/>
          <w:szCs w:val="20"/>
        </w:rPr>
      </w:pPr>
      <w:r>
        <w:rPr>
          <w:rFonts w:ascii="Verdana" w:hAnsi="Verdana"/>
          <w:b/>
          <w:sz w:val="20"/>
          <w:szCs w:val="20"/>
        </w:rPr>
        <w:t>CLÁUSULA SEGUNDA – DA EXECUÇÃO</w:t>
      </w:r>
    </w:p>
    <w:p>
      <w:pPr>
        <w:pStyle w:val="Normal"/>
        <w:spacing w:lineRule="auto" w:line="240" w:before="0" w:after="0"/>
        <w:jc w:val="both"/>
        <w:rPr>
          <w:rFonts w:ascii="Verdana" w:hAnsi="Verdana"/>
          <w:sz w:val="20"/>
          <w:szCs w:val="20"/>
        </w:rPr>
      </w:pPr>
      <w:r>
        <w:rPr>
          <w:rFonts w:cs="Verdana" w:ascii="Verdana" w:hAnsi="Verdana"/>
          <w:b/>
          <w:iCs/>
          <w:sz w:val="20"/>
          <w:szCs w:val="20"/>
        </w:rPr>
        <w:t xml:space="preserve">2.1 – </w:t>
      </w:r>
      <w:r>
        <w:rPr>
          <w:rFonts w:cs="Verdana" w:ascii="Verdana" w:hAnsi="Verdana"/>
          <w:b/>
          <w:bCs/>
          <w:iCs/>
          <w:sz w:val="20"/>
          <w:szCs w:val="20"/>
        </w:rPr>
        <w:t>PRAZO DE ENTREGA:</w:t>
      </w:r>
    </w:p>
    <w:p>
      <w:pPr>
        <w:pStyle w:val="Normal"/>
        <w:spacing w:lineRule="auto" w:line="240"/>
        <w:jc w:val="both"/>
        <w:rPr>
          <w:rFonts w:ascii="Verdana" w:hAnsi="Verdana" w:cs="Verdana"/>
          <w:sz w:val="20"/>
          <w:szCs w:val="20"/>
        </w:rPr>
      </w:pPr>
      <w:r>
        <w:rPr>
          <w:rFonts w:cs="Verdana" w:ascii="Verdana" w:hAnsi="Verdana"/>
          <w:sz w:val="20"/>
          <w:szCs w:val="20"/>
        </w:rPr>
        <w:t>2</w:t>
      </w:r>
      <w:r>
        <w:rPr>
          <w:rFonts w:cs="Verdana" w:ascii="Verdana" w:hAnsi="Verdana"/>
          <w:sz w:val="20"/>
          <w:szCs w:val="20"/>
        </w:rPr>
        <w:t>.1.1 A CONTRATADA deverá entregar os medicamentos no prazo máximo de 30 (trinta) dias após o recebimento da Ordem de Fornecimento emitida pelo Setor de Compras da Secretaria Municipal de Saúde.</w:t>
      </w:r>
    </w:p>
    <w:p>
      <w:pPr>
        <w:pStyle w:val="Normal"/>
        <w:spacing w:lineRule="auto" w:line="240"/>
        <w:jc w:val="both"/>
        <w:rPr>
          <w:rFonts w:ascii="Verdana" w:hAnsi="Verdana" w:cs="Verdana"/>
          <w:b/>
          <w:bCs/>
          <w:sz w:val="20"/>
          <w:szCs w:val="20"/>
        </w:rPr>
      </w:pPr>
      <w:r>
        <w:rPr>
          <w:rFonts w:cs="Verdana" w:ascii="Verdana" w:hAnsi="Verdana"/>
          <w:b/>
          <w:bCs/>
          <w:sz w:val="20"/>
          <w:szCs w:val="20"/>
        </w:rPr>
        <w:t>2</w:t>
      </w:r>
      <w:r>
        <w:rPr>
          <w:rFonts w:cs="Verdana" w:ascii="Verdana" w:hAnsi="Verdana"/>
          <w:b/>
          <w:bCs/>
          <w:sz w:val="20"/>
          <w:szCs w:val="20"/>
        </w:rPr>
        <w:t>.2 DO LOCAL DE ENTREGA:</w:t>
      </w:r>
    </w:p>
    <w:p>
      <w:pPr>
        <w:pStyle w:val="Normal"/>
        <w:spacing w:lineRule="auto" w:line="240"/>
        <w:jc w:val="both"/>
        <w:rPr>
          <w:rFonts w:ascii="Verdana" w:hAnsi="Verdana" w:cs="Verdana"/>
          <w:sz w:val="20"/>
          <w:szCs w:val="20"/>
        </w:rPr>
      </w:pPr>
      <w:r>
        <w:rPr>
          <w:rFonts w:cs="Verdana" w:ascii="Verdana" w:hAnsi="Verdana"/>
          <w:sz w:val="20"/>
          <w:szCs w:val="20"/>
        </w:rPr>
        <w:t>2</w:t>
      </w:r>
      <w:r>
        <w:rPr>
          <w:rFonts w:cs="Verdana" w:ascii="Verdana" w:hAnsi="Verdana"/>
          <w:sz w:val="20"/>
          <w:szCs w:val="20"/>
        </w:rPr>
        <w:t>.2.1 A entrega deverá ocorrer no Almoxarifado da Farmácia Básica Municipal, localizado na Rua DRº Fernando Serra, nº. 221, Bairro Jardim da Infância, município de São Gabriel da Palha ES, CEP: 29.780.000 no horário de expediente deste setor, ou seja, segunda a sexta no horário de 07 às 17horas. O setor não fecha em horário de almoço.</w:t>
      </w:r>
    </w:p>
    <w:p>
      <w:pPr>
        <w:pStyle w:val="Normal"/>
        <w:spacing w:lineRule="auto" w:line="240"/>
        <w:jc w:val="both"/>
        <w:rPr>
          <w:rFonts w:ascii="Verdana" w:hAnsi="Verdana" w:cs="Verdana"/>
          <w:sz w:val="20"/>
          <w:szCs w:val="20"/>
        </w:rPr>
      </w:pPr>
      <w:r>
        <w:rPr>
          <w:rFonts w:cs="Verdana" w:ascii="Verdana" w:hAnsi="Verdana"/>
          <w:sz w:val="20"/>
          <w:szCs w:val="20"/>
        </w:rPr>
        <w:t>Contato: 27 9 9740 8895</w:t>
      </w:r>
    </w:p>
    <w:p>
      <w:pPr>
        <w:pStyle w:val="Normal"/>
        <w:spacing w:lineRule="auto" w:line="240"/>
        <w:jc w:val="both"/>
        <w:rPr>
          <w:rFonts w:ascii="Verdana" w:hAnsi="Verdana"/>
          <w:sz w:val="20"/>
          <w:szCs w:val="20"/>
        </w:rPr>
      </w:pPr>
      <w:r>
        <w:rPr>
          <w:rFonts w:cs="Verdana" w:ascii="Verdana" w:hAnsi="Verdana"/>
          <w:sz w:val="20"/>
          <w:szCs w:val="20"/>
        </w:rPr>
        <w:t>E-mail: setorcomprassgp</w:t>
      </w:r>
      <w:r>
        <w:rPr>
          <w:rFonts w:cs="Verdana" w:ascii="Verdana" w:hAnsi="Verdana"/>
          <w:sz w:val="20"/>
          <w:szCs w:val="20"/>
          <w:lang w:eastAsia="zh-CN"/>
        </w:rPr>
        <w:t>@gmail.com</w:t>
      </w:r>
    </w:p>
    <w:p>
      <w:pPr>
        <w:pStyle w:val="Normal"/>
        <w:spacing w:lineRule="auto" w:line="240"/>
        <w:jc w:val="both"/>
        <w:rPr>
          <w:rFonts w:ascii="Verdana" w:hAnsi="Verdana"/>
          <w:sz w:val="20"/>
          <w:szCs w:val="20"/>
        </w:rPr>
      </w:pPr>
      <w:r>
        <w:rPr>
          <w:rFonts w:cs="Verdana" w:ascii="Verdana" w:hAnsi="Verdana"/>
          <w:sz w:val="20"/>
          <w:szCs w:val="20"/>
        </w:rPr>
        <w:t xml:space="preserve">Responsável: Secretaria Municipal de </w:t>
      </w:r>
      <w:r>
        <w:rPr>
          <w:rFonts w:cs="Verdana" w:ascii="Verdana" w:hAnsi="Verdana"/>
          <w:sz w:val="20"/>
          <w:szCs w:val="20"/>
          <w:lang w:eastAsia="zh-CN"/>
        </w:rPr>
        <w:t>Saúde.</w:t>
      </w:r>
    </w:p>
    <w:p>
      <w:pPr>
        <w:pStyle w:val="Normal"/>
        <w:spacing w:lineRule="auto" w:line="240"/>
        <w:jc w:val="both"/>
        <w:rPr>
          <w:rFonts w:ascii="Verdana" w:hAnsi="Verdana" w:cs="Verdana"/>
          <w:sz w:val="20"/>
          <w:szCs w:val="20"/>
        </w:rPr>
      </w:pPr>
      <w:r>
        <w:rPr>
          <w:rFonts w:cs="Verdana" w:ascii="Verdana" w:hAnsi="Verdana"/>
          <w:b/>
          <w:bCs/>
          <w:sz w:val="20"/>
          <w:szCs w:val="20"/>
        </w:rPr>
        <w:t>2</w:t>
      </w:r>
      <w:r>
        <w:rPr>
          <w:rFonts w:cs="Verdana" w:ascii="Verdana" w:hAnsi="Verdana"/>
          <w:b/>
          <w:bCs/>
          <w:sz w:val="20"/>
          <w:szCs w:val="20"/>
        </w:rPr>
        <w:t>.3 DAS CONDIÇÕES DE ENTREGA:</w:t>
      </w:r>
    </w:p>
    <w:p>
      <w:pPr>
        <w:pStyle w:val="Normal"/>
        <w:spacing w:lineRule="auto" w:line="240"/>
        <w:jc w:val="both"/>
        <w:rPr>
          <w:rFonts w:ascii="Verdana" w:hAnsi="Verdana" w:cs="Verdana"/>
          <w:sz w:val="20"/>
          <w:szCs w:val="20"/>
        </w:rPr>
      </w:pPr>
      <w:r>
        <w:rPr>
          <w:rFonts w:cs="Verdana" w:ascii="Verdana" w:hAnsi="Verdana"/>
          <w:sz w:val="20"/>
          <w:szCs w:val="20"/>
        </w:rPr>
        <w:t>2</w:t>
      </w:r>
      <w:r>
        <w:rPr>
          <w:rFonts w:cs="Verdana" w:ascii="Verdana" w:hAnsi="Verdana"/>
          <w:sz w:val="20"/>
          <w:szCs w:val="20"/>
        </w:rPr>
        <w:t>.3.1 Os medicamentos serão recebidos no ato da entrega, no local e endereço indicados anteriormente;</w:t>
      </w:r>
    </w:p>
    <w:p>
      <w:pPr>
        <w:pStyle w:val="Nivel2"/>
        <w:numPr>
          <w:ilvl w:val="0"/>
          <w:numId w:val="0"/>
        </w:numPr>
        <w:spacing w:lineRule="auto" w:line="240" w:before="0" w:after="0"/>
        <w:ind w:hanging="0" w:left="0" w:right="0"/>
        <w:rPr>
          <w:rFonts w:ascii="Verdana" w:hAnsi="Verdana"/>
          <w:sz w:val="20"/>
          <w:szCs w:val="20"/>
        </w:rPr>
      </w:pPr>
      <w:r>
        <w:rPr>
          <w:rFonts w:cs="Verdana" w:ascii="Verdana" w:hAnsi="Verdana"/>
          <w:iCs/>
          <w:color w:val="000000"/>
          <w:sz w:val="20"/>
          <w:szCs w:val="20"/>
        </w:rPr>
        <w:t>2</w:t>
      </w:r>
      <w:r>
        <w:rPr>
          <w:rFonts w:cs="Verdana" w:ascii="Verdana" w:hAnsi="Verdana"/>
          <w:iCs/>
          <w:color w:val="000000"/>
          <w:sz w:val="20"/>
          <w:szCs w:val="20"/>
        </w:rPr>
        <w:t>.3</w:t>
      </w:r>
      <w:r>
        <w:rPr>
          <w:rFonts w:cs="Verdana" w:ascii="Verdana" w:hAnsi="Verdana"/>
          <w:b/>
          <w:bCs/>
          <w:iCs/>
          <w:color w:val="000000"/>
          <w:sz w:val="20"/>
          <w:szCs w:val="20"/>
        </w:rPr>
        <w:t>.</w:t>
      </w:r>
      <w:r>
        <w:rPr>
          <w:rFonts w:cs="Verdana" w:ascii="Verdana" w:hAnsi="Verdana"/>
          <w:iCs/>
          <w:color w:val="000000"/>
          <w:sz w:val="20"/>
          <w:szCs w:val="20"/>
        </w:rPr>
        <w:t>2</w:t>
      </w:r>
      <w:r>
        <w:rPr>
          <w:rFonts w:cs="Verdana" w:ascii="Verdana" w:hAnsi="Verdana"/>
          <w:b/>
          <w:bCs/>
          <w:iCs/>
          <w:color w:val="000000"/>
          <w:sz w:val="20"/>
          <w:szCs w:val="20"/>
        </w:rPr>
        <w:t xml:space="preserve"> </w:t>
      </w:r>
      <w:r>
        <w:rPr>
          <w:rFonts w:cs="Verdana" w:ascii="Verdana" w:hAnsi="Verdana"/>
          <w:bCs/>
          <w:iCs/>
          <w:color w:val="000000"/>
          <w:sz w:val="20"/>
          <w:szCs w:val="20"/>
        </w:rPr>
        <w:t xml:space="preserve">Caso não seja possível a entrega na data assinalada, a empresa deverá comunicar as razões respectivas imediatamente ao setor de Compras da Secretaria Municipal de Saúde, ressalvadas situações de caso fortuito e </w:t>
      </w:r>
      <w:r>
        <w:rPr>
          <w:rFonts w:cs="Verdana" w:ascii="Verdana" w:hAnsi="Verdana"/>
          <w:iCs/>
          <w:color w:val="000000"/>
          <w:sz w:val="20"/>
          <w:szCs w:val="20"/>
        </w:rPr>
        <w:t>força</w:t>
      </w:r>
      <w:r>
        <w:rPr>
          <w:rFonts w:cs="Verdana" w:ascii="Verdana" w:hAnsi="Verdana"/>
          <w:bCs/>
          <w:iCs/>
          <w:color w:val="000000"/>
          <w:sz w:val="20"/>
          <w:szCs w:val="20"/>
        </w:rPr>
        <w:t xml:space="preserve"> maior.</w:t>
      </w:r>
    </w:p>
    <w:p>
      <w:pPr>
        <w:pStyle w:val="Nivel2"/>
        <w:numPr>
          <w:ilvl w:val="0"/>
          <w:numId w:val="0"/>
        </w:numPr>
        <w:spacing w:lineRule="auto" w:line="240" w:before="0" w:after="0"/>
        <w:ind w:hanging="0" w:left="0" w:right="0"/>
        <w:rPr>
          <w:rFonts w:ascii="Verdana" w:hAnsi="Verdana"/>
          <w:sz w:val="20"/>
          <w:szCs w:val="20"/>
        </w:rPr>
      </w:pPr>
      <w:r>
        <w:rPr>
          <w:rFonts w:cs="Verdana" w:ascii="Verdana" w:hAnsi="Verdana"/>
          <w:bCs/>
          <w:iCs/>
          <w:color w:val="000000"/>
          <w:sz w:val="20"/>
          <w:szCs w:val="20"/>
        </w:rPr>
        <w:t>2</w:t>
      </w:r>
      <w:r>
        <w:rPr>
          <w:rFonts w:cs="Verdana" w:ascii="Verdana" w:hAnsi="Verdana"/>
          <w:bCs/>
          <w:iCs/>
          <w:color w:val="000000"/>
          <w:sz w:val="20"/>
          <w:szCs w:val="20"/>
        </w:rPr>
        <w:t xml:space="preserve">.3.3 </w:t>
      </w:r>
      <w:r>
        <w:rPr>
          <w:rFonts w:cs="Verdana" w:ascii="Verdana" w:hAnsi="Verdana"/>
          <w:bCs/>
          <w:color w:val="000000"/>
          <w:sz w:val="20"/>
          <w:szCs w:val="20"/>
        </w:rPr>
        <w:t>Os itens serão recebidos pelo(a) responsável pelo acompanhamento e fiscalização, para efeito de posterior verificação de sua conformidade com as especificações constantes neste Termo de Referência e na proposta.</w:t>
      </w:r>
    </w:p>
    <w:p>
      <w:pPr>
        <w:pStyle w:val="ListParagraph"/>
        <w:spacing w:lineRule="auto" w:line="240"/>
        <w:ind w:left="0" w:right="0"/>
        <w:jc w:val="both"/>
        <w:rPr>
          <w:rFonts w:ascii="Verdana" w:hAnsi="Verdana" w:cs="Verdana"/>
          <w:sz w:val="20"/>
          <w:szCs w:val="20"/>
        </w:rPr>
      </w:pPr>
      <w:r>
        <w:rPr>
          <w:rFonts w:cs="Verdana" w:ascii="Verdana" w:hAnsi="Verdana"/>
          <w:sz w:val="20"/>
          <w:szCs w:val="20"/>
        </w:rPr>
        <w:t>2</w:t>
      </w:r>
      <w:r>
        <w:rPr>
          <w:rFonts w:cs="Verdana" w:ascii="Verdana" w:hAnsi="Verdana"/>
          <w:sz w:val="20"/>
          <w:szCs w:val="20"/>
        </w:rPr>
        <w:t>.3.4 A conferência dos itens deverá ser acompanhada por um servidor da Farmácia Básica do Município, a fim de zelar pela qualidade e quantidade dos itens a serem adquiridos.</w:t>
      </w:r>
    </w:p>
    <w:p>
      <w:pPr>
        <w:pStyle w:val="Nivel2"/>
        <w:numPr>
          <w:ilvl w:val="0"/>
          <w:numId w:val="0"/>
        </w:numPr>
        <w:spacing w:lineRule="auto" w:line="240" w:before="0" w:after="0"/>
        <w:ind w:hanging="0" w:left="0" w:right="0"/>
        <w:rPr>
          <w:rFonts w:ascii="Verdana" w:hAnsi="Verdana" w:cs="Verdana"/>
          <w:bCs/>
          <w:color w:val="000000"/>
          <w:sz w:val="20"/>
          <w:szCs w:val="20"/>
        </w:rPr>
      </w:pPr>
      <w:r>
        <w:rPr>
          <w:rFonts w:cs="Verdana" w:ascii="Verdana" w:hAnsi="Verdana"/>
          <w:bCs/>
          <w:color w:val="000000"/>
          <w:sz w:val="20"/>
          <w:szCs w:val="20"/>
        </w:rPr>
        <w:t>2</w:t>
      </w:r>
      <w:r>
        <w:rPr>
          <w:rFonts w:cs="Verdana" w:ascii="Verdana" w:hAnsi="Verdana"/>
          <w:bCs/>
          <w:color w:val="000000"/>
          <w:sz w:val="20"/>
          <w:szCs w:val="20"/>
        </w:rPr>
        <w:t>.3.5 Os itens poderão ser rejeitados, no todo ou em parte, quando em desacordo com as especificações constantes no ETP, neste Termo de Referência e na respectiva Autorização de Fornecimento, devendo ser substituído imediatamente, no momento da constatação pelo demandante, às suas custas.</w:t>
      </w:r>
    </w:p>
    <w:p>
      <w:pPr>
        <w:pStyle w:val="ListParagraph"/>
        <w:spacing w:lineRule="auto" w:line="240"/>
        <w:ind w:left="0" w:right="0"/>
        <w:jc w:val="both"/>
        <w:rPr>
          <w:rFonts w:ascii="Verdana" w:hAnsi="Verdana" w:cs="Verdana"/>
          <w:sz w:val="20"/>
          <w:szCs w:val="20"/>
        </w:rPr>
      </w:pPr>
      <w:r>
        <w:rPr>
          <w:rFonts w:cs="Verdana" w:ascii="Verdana" w:hAnsi="Verdana"/>
          <w:sz w:val="20"/>
          <w:szCs w:val="20"/>
        </w:rPr>
        <w:t>2</w:t>
      </w:r>
      <w:r>
        <w:rPr>
          <w:rFonts w:cs="Verdana" w:ascii="Verdana" w:hAnsi="Verdana"/>
          <w:sz w:val="20"/>
          <w:szCs w:val="20"/>
        </w:rPr>
        <w:t>.3.6 O recebimento provisório ou definitivo não excluirá a responsabilidade da contratada pelos prejuízos resultantes da incorreta execução do contrato.</w:t>
      </w:r>
    </w:p>
    <w:p>
      <w:pPr>
        <w:pStyle w:val="ListParagraph"/>
        <w:spacing w:lineRule="auto" w:line="240"/>
        <w:ind w:left="0" w:right="0"/>
        <w:jc w:val="both"/>
        <w:rPr>
          <w:rFonts w:ascii="Verdana" w:hAnsi="Verdana"/>
          <w:sz w:val="20"/>
          <w:szCs w:val="20"/>
        </w:rPr>
      </w:pPr>
      <w:r>
        <w:rPr>
          <w:rFonts w:cs="Verdana" w:ascii="Verdana" w:hAnsi="Verdana"/>
          <w:sz w:val="20"/>
          <w:szCs w:val="20"/>
        </w:rPr>
        <w:t>2</w:t>
      </w:r>
      <w:r>
        <w:rPr>
          <w:rFonts w:cs="Verdana" w:ascii="Verdana" w:hAnsi="Verdana"/>
          <w:sz w:val="20"/>
          <w:szCs w:val="20"/>
        </w:rPr>
        <w:t xml:space="preserve">.3.7 </w:t>
      </w:r>
      <w:r>
        <w:rPr>
          <w:rFonts w:cs="Verdana" w:ascii="Verdana" w:hAnsi="Verdana"/>
          <w:b/>
          <w:sz w:val="20"/>
          <w:szCs w:val="20"/>
          <w:u w:val="single"/>
        </w:rPr>
        <w:t>Os medicamentos deverão apresentar data de validade de no mínimo 12(doze) meses contados a partir da data do recebimento dos medicamentos no Almoxarifado da Secretaria Municipal de Saúde; Caso essa validade não seja cumprida no ato da entrega do medicamento a CONTRATADA deverá emitir uma carta de comprometimento para troca, caso o medicamento não seja todo dispensado até a validade entregue.</w:t>
      </w:r>
    </w:p>
    <w:p>
      <w:pPr>
        <w:pStyle w:val="Nivel2"/>
        <w:numPr>
          <w:ilvl w:val="0"/>
          <w:numId w:val="0"/>
        </w:numPr>
        <w:spacing w:lineRule="auto" w:line="240" w:before="0" w:after="0"/>
        <w:ind w:hanging="0" w:left="0" w:right="0"/>
        <w:rPr>
          <w:rFonts w:ascii="Verdana" w:hAnsi="Verdana" w:cs="Verdana"/>
          <w:iCs/>
          <w:color w:val="000000"/>
          <w:sz w:val="20"/>
          <w:szCs w:val="20"/>
        </w:rPr>
      </w:pPr>
      <w:r>
        <w:rPr>
          <w:rFonts w:cs="Verdana" w:ascii="Verdana" w:hAnsi="Verdana"/>
          <w:iCs/>
          <w:color w:val="000000"/>
          <w:sz w:val="20"/>
          <w:szCs w:val="20"/>
        </w:rPr>
        <w:t>2</w:t>
      </w:r>
      <w:r>
        <w:rPr>
          <w:rFonts w:cs="Verdana" w:ascii="Verdana" w:hAnsi="Verdana"/>
          <w:iCs/>
          <w:color w:val="000000"/>
          <w:sz w:val="20"/>
          <w:szCs w:val="20"/>
        </w:rPr>
        <w:t>.3.8 No caso de recusa da entrega do produto pelo fornecedor, a Administração Pública adotará as providências cabíveis, de cordo com a legislação aplicável, visando sanar problemas por ventura ocorridos.</w:t>
      </w:r>
    </w:p>
    <w:p>
      <w:pPr>
        <w:pStyle w:val="Nivel2"/>
        <w:numPr>
          <w:ilvl w:val="0"/>
          <w:numId w:val="0"/>
        </w:numPr>
        <w:spacing w:lineRule="auto" w:line="240" w:before="0" w:after="0"/>
        <w:ind w:hanging="0" w:left="0" w:right="0"/>
        <w:rPr>
          <w:rFonts w:ascii="Verdana" w:hAnsi="Verdana"/>
          <w:sz w:val="20"/>
          <w:szCs w:val="20"/>
        </w:rPr>
      </w:pPr>
      <w:r>
        <w:rPr>
          <w:rFonts w:cs="Verdana" w:ascii="Verdana" w:hAnsi="Verdana"/>
          <w:iCs/>
          <w:color w:val="000000"/>
          <w:sz w:val="20"/>
          <w:szCs w:val="20"/>
        </w:rPr>
        <w:t>2</w:t>
      </w:r>
      <w:r>
        <w:rPr>
          <w:rFonts w:cs="Verdana" w:ascii="Verdana" w:hAnsi="Verdana"/>
          <w:iCs/>
          <w:color w:val="000000"/>
          <w:sz w:val="20"/>
          <w:szCs w:val="20"/>
        </w:rPr>
        <w:t xml:space="preserve">.3.9 </w:t>
      </w:r>
      <w:r>
        <w:rPr>
          <w:rFonts w:cs="Verdana" w:ascii="Verdana" w:hAnsi="Verdana"/>
          <w:b/>
          <w:iCs/>
          <w:color w:val="000000"/>
          <w:sz w:val="20"/>
          <w:szCs w:val="20"/>
        </w:rPr>
        <w:t>Considerando a legislação vigente a RDC nº 135/2005, com as alterações da RDC nº 260/2005 ambas revogadas pela RDC nº 80/2006 e a portaria 344, de 12 de maio de 1998, e suas posteriores atualizações da agência Nacional de Vigilância Sanitária (ANVISA), a qual dispõe que as farmácias poderão fracionar medicamentos a partir de embalagens especialmente desenvolvidas para essa finalidade (embalagem primária fracionável).</w:t>
      </w:r>
    </w:p>
    <w:p>
      <w:pPr>
        <w:pStyle w:val="Nivel2"/>
        <w:numPr>
          <w:ilvl w:val="0"/>
          <w:numId w:val="0"/>
        </w:numPr>
        <w:spacing w:lineRule="auto" w:line="240" w:before="0" w:after="0"/>
        <w:ind w:hanging="0" w:left="0" w:right="0"/>
        <w:rPr>
          <w:rFonts w:ascii="Verdana" w:hAnsi="Verdana" w:cs="Verdana"/>
          <w:iCs/>
          <w:color w:val="000000"/>
          <w:sz w:val="20"/>
          <w:szCs w:val="20"/>
        </w:rPr>
      </w:pPr>
      <w:r>
        <w:rPr>
          <w:rFonts w:cs="Verdana" w:ascii="Verdana" w:hAnsi="Verdana"/>
          <w:iCs/>
          <w:color w:val="000000"/>
          <w:sz w:val="20"/>
          <w:szCs w:val="20"/>
        </w:rPr>
        <w:t>2</w:t>
      </w:r>
      <w:r>
        <w:rPr>
          <w:rFonts w:cs="Verdana" w:ascii="Verdana" w:hAnsi="Verdana"/>
          <w:iCs/>
          <w:color w:val="000000"/>
          <w:sz w:val="20"/>
          <w:szCs w:val="20"/>
        </w:rPr>
        <w:t>.3.10 Considerando que a falta de embalagens apropriadas ao fracionamento de medicamentos gera desperdício no município, induz ao uso irracional e desnecessário de medicamentos e o estímulo à automação, fatores estes que provocam problemas na condição terapêutica, levando a maiores gastos da saúde pública.</w:t>
      </w:r>
    </w:p>
    <w:p>
      <w:pPr>
        <w:pStyle w:val="Normal"/>
        <w:spacing w:lineRule="auto" w:line="240" w:before="0" w:after="0"/>
        <w:jc w:val="both"/>
        <w:rPr>
          <w:rFonts w:ascii="Verdana" w:hAnsi="Verdana" w:cs="Verdana"/>
          <w:iCs/>
          <w:color w:val="000000"/>
          <w:sz w:val="20"/>
          <w:szCs w:val="20"/>
        </w:rPr>
      </w:pPr>
      <w:r>
        <w:rPr>
          <w:rFonts w:cs="Times New Roman" w:ascii="Verdana" w:hAnsi="Verdana"/>
          <w:b w:val="false"/>
          <w:bCs w:val="false"/>
          <w:iCs/>
          <w:color w:val="auto"/>
          <w:sz w:val="20"/>
          <w:szCs w:val="20"/>
          <w:u w:val="none"/>
        </w:rPr>
        <w:t>2</w:t>
      </w:r>
      <w:r>
        <w:rPr>
          <w:rFonts w:cs="Times New Roman" w:ascii="Verdana" w:hAnsi="Verdana"/>
          <w:b w:val="false"/>
          <w:bCs w:val="false"/>
          <w:iCs/>
          <w:color w:val="auto"/>
          <w:sz w:val="20"/>
          <w:szCs w:val="20"/>
          <w:u w:val="none"/>
        </w:rPr>
        <w:t>.3.11 A disponibilização de medicamentos em embalagem primária fracionável, é de extrema importância no atendimento prestado aos usuários, pois através deste artifício, é possível realizar o fornecimento na quantidade exata prescrita no receituário, promovendo o uso racional de medicamentos, reduzindo-se a automedicação e a geração de resíduos nas residências, além de otimizar a utilização dos recursos financeiros e racionalizar os investimentos na área da assistência farmacêutica.</w:t>
      </w:r>
    </w:p>
    <w:p>
      <w:pPr>
        <w:pStyle w:val="ListParagraph"/>
        <w:spacing w:lineRule="auto" w:line="240"/>
        <w:ind w:left="0" w:right="0"/>
        <w:jc w:val="both"/>
        <w:rPr>
          <w:rFonts w:ascii="Verdana" w:hAnsi="Verdana" w:cs="Times New Roman"/>
          <w:iCs/>
          <w:color w:val="auto"/>
          <w:sz w:val="20"/>
          <w:szCs w:val="20"/>
        </w:rPr>
      </w:pPr>
      <w:r>
        <w:rPr>
          <w:rFonts w:cs="Times New Roman" w:ascii="Verdana" w:hAnsi="Verdana"/>
          <w:iCs/>
          <w:color w:val="auto"/>
          <w:sz w:val="20"/>
          <w:szCs w:val="20"/>
        </w:rPr>
      </w:r>
    </w:p>
    <w:p>
      <w:pPr>
        <w:pStyle w:val="Normal"/>
        <w:spacing w:lineRule="auto" w:line="240"/>
        <w:jc w:val="both"/>
        <w:rPr>
          <w:rFonts w:ascii="Verdana" w:hAnsi="Verdana"/>
          <w:sz w:val="20"/>
          <w:szCs w:val="20"/>
        </w:rPr>
      </w:pPr>
      <w:r>
        <w:rPr>
          <w:rFonts w:cs="Verdana" w:ascii="Verdana" w:hAnsi="Verdana"/>
          <w:b/>
          <w:sz w:val="20"/>
          <w:szCs w:val="20"/>
          <w:u w:val="single"/>
        </w:rPr>
        <w:t>CLÁUSULA TERCEIRA – VALOR DO CONTRATO E PAGAMENTO</w:t>
      </w:r>
    </w:p>
    <w:p>
      <w:pPr>
        <w:pStyle w:val="ListParagraph"/>
        <w:tabs>
          <w:tab w:val="clear" w:pos="708"/>
          <w:tab w:val="left" w:pos="740" w:leader="none"/>
        </w:tabs>
        <w:overflowPunct w:val="true"/>
        <w:spacing w:lineRule="auto" w:line="240" w:before="0" w:after="0"/>
        <w:ind w:left="0"/>
        <w:contextualSpacing/>
        <w:jc w:val="both"/>
        <w:textAlignment w:val="auto"/>
        <w:rPr>
          <w:rFonts w:ascii="Verdana" w:hAnsi="Verdana"/>
          <w:sz w:val="20"/>
          <w:szCs w:val="20"/>
        </w:rPr>
      </w:pPr>
      <w:r>
        <w:rPr>
          <w:rFonts w:cs="Verdana" w:ascii="Verdana" w:hAnsi="Verdana"/>
          <w:b/>
          <w:sz w:val="20"/>
          <w:szCs w:val="20"/>
        </w:rPr>
        <w:t>3.1 –</w:t>
      </w:r>
      <w:r>
        <w:rPr>
          <w:rFonts w:eastAsia="Verdana" w:cs="Verdana" w:ascii="Verdana" w:hAnsi="Verdana"/>
          <w:sz w:val="20"/>
          <w:szCs w:val="20"/>
        </w:rPr>
        <w:t xml:space="preserve"> Pela entrega do objeto o CONTRATANTE pagará à CONTRATADA, o valor total de R$ ____________, conforme valores a seguir:</w:t>
      </w:r>
    </w:p>
    <w:p>
      <w:pPr>
        <w:pStyle w:val="ListParagraph"/>
        <w:tabs>
          <w:tab w:val="clear" w:pos="708"/>
          <w:tab w:val="left" w:pos="434" w:leader="none"/>
        </w:tabs>
        <w:overflowPunct w:val="true"/>
        <w:spacing w:lineRule="auto" w:line="240" w:before="0" w:after="0"/>
        <w:ind w:left="0"/>
        <w:contextualSpacing/>
        <w:jc w:val="both"/>
        <w:textAlignment w:val="auto"/>
        <w:rPr>
          <w:rFonts w:ascii="Verdana" w:hAnsi="Verdana"/>
          <w:sz w:val="20"/>
          <w:szCs w:val="20"/>
        </w:rPr>
      </w:pPr>
      <w:r>
        <w:rPr>
          <w:rFonts w:ascii="Verdana" w:hAnsi="Verdana"/>
          <w:sz w:val="20"/>
          <w:szCs w:val="20"/>
        </w:rPr>
      </w:r>
    </w:p>
    <w:tbl>
      <w:tblPr>
        <w:tblW w:w="9247" w:type="dxa"/>
        <w:jc w:val="left"/>
        <w:tblInd w:w="92" w:type="dxa"/>
        <w:tblLayout w:type="fixed"/>
        <w:tblCellMar>
          <w:top w:w="0" w:type="dxa"/>
          <w:left w:w="108" w:type="dxa"/>
          <w:bottom w:w="0" w:type="dxa"/>
          <w:right w:w="108" w:type="dxa"/>
        </w:tblCellMar>
        <w:tblLook w:firstRow="1" w:noVBand="1" w:lastRow="0" w:firstColumn="1" w:lastColumn="0" w:noHBand="0" w:val="04a0"/>
      </w:tblPr>
      <w:tblGrid>
        <w:gridCol w:w="1068"/>
        <w:gridCol w:w="1130"/>
        <w:gridCol w:w="4146"/>
        <w:gridCol w:w="1355"/>
        <w:gridCol w:w="1548"/>
      </w:tblGrid>
      <w:tr>
        <w:trPr/>
        <w:tc>
          <w:tcPr>
            <w:tcW w:w="1068" w:type="dxa"/>
            <w:tcBorders>
              <w:top w:val="single" w:sz="4" w:space="0" w:color="000000"/>
              <w:left w:val="single" w:sz="4" w:space="0" w:color="000000"/>
              <w:bottom w:val="single" w:sz="4" w:space="0" w:color="000000"/>
            </w:tcBorders>
            <w:vAlign w:val="center"/>
          </w:tcPr>
          <w:p>
            <w:pPr>
              <w:pStyle w:val="Normal"/>
              <w:widowControl w:val="false"/>
              <w:spacing w:lineRule="auto" w:line="240"/>
              <w:jc w:val="center"/>
              <w:rPr>
                <w:rFonts w:ascii="Verdana" w:hAnsi="Verdana"/>
                <w:sz w:val="20"/>
                <w:szCs w:val="20"/>
              </w:rPr>
            </w:pPr>
            <w:r>
              <w:rPr>
                <w:rFonts w:cs="Verdana" w:ascii="Verdana" w:hAnsi="Verdana"/>
                <w:b/>
                <w:sz w:val="20"/>
                <w:szCs w:val="20"/>
              </w:rPr>
              <w:t>Quant.</w:t>
            </w:r>
          </w:p>
        </w:tc>
        <w:tc>
          <w:tcPr>
            <w:tcW w:w="1130" w:type="dxa"/>
            <w:tcBorders>
              <w:top w:val="single" w:sz="4" w:space="0" w:color="000000"/>
              <w:left w:val="single" w:sz="4" w:space="0" w:color="000000"/>
              <w:bottom w:val="single" w:sz="4" w:space="0" w:color="000000"/>
            </w:tcBorders>
            <w:vAlign w:val="center"/>
          </w:tcPr>
          <w:p>
            <w:pPr>
              <w:pStyle w:val="Normal"/>
              <w:widowControl w:val="false"/>
              <w:spacing w:lineRule="auto" w:line="240"/>
              <w:jc w:val="center"/>
              <w:rPr>
                <w:rFonts w:ascii="Verdana" w:hAnsi="Verdana"/>
                <w:sz w:val="20"/>
                <w:szCs w:val="20"/>
              </w:rPr>
            </w:pPr>
            <w:r>
              <w:rPr>
                <w:rFonts w:ascii="Verdana" w:hAnsi="Verdana"/>
                <w:b/>
                <w:bCs/>
                <w:sz w:val="20"/>
                <w:szCs w:val="20"/>
              </w:rPr>
              <w:t>Unid.</w:t>
            </w:r>
          </w:p>
        </w:tc>
        <w:tc>
          <w:tcPr>
            <w:tcW w:w="4146" w:type="dxa"/>
            <w:tcBorders>
              <w:top w:val="single" w:sz="4" w:space="0" w:color="000000"/>
              <w:left w:val="single" w:sz="4" w:space="0" w:color="000000"/>
              <w:bottom w:val="single" w:sz="4" w:space="0" w:color="000000"/>
            </w:tcBorders>
            <w:vAlign w:val="center"/>
          </w:tcPr>
          <w:p>
            <w:pPr>
              <w:pStyle w:val="Normal"/>
              <w:widowControl w:val="false"/>
              <w:spacing w:lineRule="auto" w:line="240"/>
              <w:jc w:val="center"/>
              <w:rPr>
                <w:rFonts w:ascii="Verdana" w:hAnsi="Verdana"/>
                <w:sz w:val="20"/>
                <w:szCs w:val="20"/>
              </w:rPr>
            </w:pPr>
            <w:r>
              <w:rPr>
                <w:rFonts w:cs="Verdana" w:ascii="Verdana" w:hAnsi="Verdana"/>
                <w:b/>
                <w:bCs/>
                <w:sz w:val="20"/>
                <w:szCs w:val="20"/>
              </w:rPr>
              <w:t>Especificação</w:t>
            </w:r>
          </w:p>
        </w:tc>
        <w:tc>
          <w:tcPr>
            <w:tcW w:w="1355" w:type="dxa"/>
            <w:tcBorders>
              <w:top w:val="single" w:sz="4" w:space="0" w:color="000000"/>
              <w:left w:val="single" w:sz="4" w:space="0" w:color="000000"/>
              <w:bottom w:val="single" w:sz="4" w:space="0" w:color="000000"/>
            </w:tcBorders>
            <w:vAlign w:val="center"/>
          </w:tcPr>
          <w:p>
            <w:pPr>
              <w:pStyle w:val="Normal"/>
              <w:widowControl w:val="false"/>
              <w:spacing w:lineRule="auto" w:line="240"/>
              <w:jc w:val="center"/>
              <w:rPr>
                <w:rFonts w:ascii="Verdana" w:hAnsi="Verdana"/>
                <w:sz w:val="20"/>
                <w:szCs w:val="20"/>
              </w:rPr>
            </w:pPr>
            <w:r>
              <w:rPr>
                <w:rFonts w:cs="Verdana" w:ascii="Verdana" w:hAnsi="Verdana"/>
                <w:b/>
                <w:bCs/>
                <w:sz w:val="20"/>
                <w:szCs w:val="20"/>
              </w:rPr>
              <w:t>Vlr. Unit.</w:t>
            </w:r>
          </w:p>
        </w:tc>
        <w:tc>
          <w:tcPr>
            <w:tcW w:w="154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jc w:val="center"/>
              <w:rPr>
                <w:rFonts w:ascii="Verdana" w:hAnsi="Verdana"/>
                <w:sz w:val="20"/>
                <w:szCs w:val="20"/>
              </w:rPr>
            </w:pPr>
            <w:r>
              <w:rPr>
                <w:rFonts w:cs="Verdana" w:ascii="Verdana" w:hAnsi="Verdana"/>
                <w:b/>
                <w:bCs/>
                <w:sz w:val="20"/>
                <w:szCs w:val="20"/>
              </w:rPr>
              <w:t>Vlr. Total</w:t>
            </w:r>
          </w:p>
        </w:tc>
      </w:tr>
      <w:tr>
        <w:trPr/>
        <w:tc>
          <w:tcPr>
            <w:tcW w:w="1068" w:type="dxa"/>
            <w:tcBorders>
              <w:top w:val="single" w:sz="4" w:space="0" w:color="000000"/>
              <w:left w:val="single" w:sz="4" w:space="0" w:color="000000"/>
              <w:bottom w:val="single" w:sz="4" w:space="0" w:color="000000"/>
            </w:tcBorders>
          </w:tcPr>
          <w:p>
            <w:pPr>
              <w:pStyle w:val="Normal"/>
              <w:widowControl w:val="false"/>
              <w:snapToGrid w:val="false"/>
              <w:spacing w:lineRule="auto" w:line="240"/>
              <w:jc w:val="both"/>
              <w:rPr>
                <w:rFonts w:ascii="Verdana" w:hAnsi="Verdana"/>
                <w:sz w:val="20"/>
                <w:szCs w:val="20"/>
              </w:rPr>
            </w:pPr>
            <w:r>
              <w:rPr>
                <w:rFonts w:ascii="Verdana" w:hAnsi="Verdana"/>
                <w:sz w:val="20"/>
                <w:szCs w:val="20"/>
              </w:rPr>
            </w:r>
          </w:p>
        </w:tc>
        <w:tc>
          <w:tcPr>
            <w:tcW w:w="1130" w:type="dxa"/>
            <w:tcBorders>
              <w:top w:val="single" w:sz="4" w:space="0" w:color="000000"/>
              <w:left w:val="single" w:sz="4" w:space="0" w:color="000000"/>
              <w:bottom w:val="single" w:sz="4" w:space="0" w:color="000000"/>
            </w:tcBorders>
          </w:tcPr>
          <w:p>
            <w:pPr>
              <w:pStyle w:val="Normal"/>
              <w:widowControl w:val="false"/>
              <w:snapToGrid w:val="false"/>
              <w:spacing w:lineRule="auto" w:line="240"/>
              <w:jc w:val="both"/>
              <w:rPr>
                <w:rFonts w:ascii="Verdana" w:hAnsi="Verdana"/>
                <w:sz w:val="20"/>
                <w:szCs w:val="20"/>
              </w:rPr>
            </w:pPr>
            <w:r>
              <w:rPr>
                <w:rFonts w:ascii="Verdana" w:hAnsi="Verdana"/>
                <w:sz w:val="20"/>
                <w:szCs w:val="20"/>
              </w:rPr>
            </w:r>
          </w:p>
        </w:tc>
        <w:tc>
          <w:tcPr>
            <w:tcW w:w="4146" w:type="dxa"/>
            <w:tcBorders>
              <w:top w:val="single" w:sz="4" w:space="0" w:color="000000"/>
              <w:left w:val="single" w:sz="4" w:space="0" w:color="000000"/>
              <w:bottom w:val="single" w:sz="4" w:space="0" w:color="000000"/>
            </w:tcBorders>
            <w:vAlign w:val="center"/>
          </w:tcPr>
          <w:p>
            <w:pPr>
              <w:pStyle w:val="Normal"/>
              <w:widowControl w:val="false"/>
              <w:snapToGrid w:val="false"/>
              <w:spacing w:lineRule="auto" w:line="240"/>
              <w:jc w:val="center"/>
              <w:rPr>
                <w:rFonts w:ascii="Verdana" w:hAnsi="Verdana" w:cs="Verdana"/>
                <w:sz w:val="20"/>
                <w:szCs w:val="20"/>
              </w:rPr>
            </w:pPr>
            <w:r>
              <w:rPr>
                <w:rFonts w:cs="Verdana" w:ascii="Verdana" w:hAnsi="Verdana"/>
                <w:sz w:val="20"/>
                <w:szCs w:val="20"/>
              </w:rPr>
            </w:r>
          </w:p>
        </w:tc>
        <w:tc>
          <w:tcPr>
            <w:tcW w:w="1355" w:type="dxa"/>
            <w:tcBorders>
              <w:top w:val="single" w:sz="4" w:space="0" w:color="000000"/>
              <w:left w:val="single" w:sz="4" w:space="0" w:color="000000"/>
              <w:bottom w:val="single" w:sz="4" w:space="0" w:color="000000"/>
            </w:tcBorders>
            <w:vAlign w:val="center"/>
          </w:tcPr>
          <w:p>
            <w:pPr>
              <w:pStyle w:val="Normal"/>
              <w:widowControl w:val="false"/>
              <w:snapToGrid w:val="false"/>
              <w:spacing w:lineRule="auto" w:line="240"/>
              <w:jc w:val="center"/>
              <w:rPr>
                <w:rFonts w:ascii="Verdana" w:hAnsi="Verdana" w:cs="Verdana"/>
                <w:sz w:val="20"/>
                <w:szCs w:val="20"/>
              </w:rPr>
            </w:pPr>
            <w:r>
              <w:rPr>
                <w:rFonts w:cs="Verdana" w:ascii="Verdana" w:hAnsi="Verdana"/>
                <w:sz w:val="20"/>
                <w:szCs w:val="20"/>
              </w:rPr>
            </w:r>
          </w:p>
        </w:tc>
        <w:tc>
          <w:tcPr>
            <w:tcW w:w="154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lineRule="auto" w:line="240"/>
              <w:jc w:val="center"/>
              <w:rPr>
                <w:rFonts w:ascii="Verdana" w:hAnsi="Verdana" w:cs="Verdana"/>
                <w:sz w:val="20"/>
                <w:szCs w:val="20"/>
              </w:rPr>
            </w:pPr>
            <w:r>
              <w:rPr>
                <w:rFonts w:cs="Verdana" w:ascii="Verdana" w:hAnsi="Verdana"/>
                <w:sz w:val="20"/>
                <w:szCs w:val="20"/>
              </w:rPr>
            </w:r>
          </w:p>
        </w:tc>
      </w:tr>
    </w:tbl>
    <w:p>
      <w:pPr>
        <w:pStyle w:val="ListParagraph"/>
        <w:tabs>
          <w:tab w:val="clear" w:pos="708"/>
          <w:tab w:val="left" w:pos="434" w:leader="none"/>
        </w:tabs>
        <w:overflowPunct w:val="true"/>
        <w:spacing w:lineRule="auto" w:line="240" w:before="0" w:after="0"/>
        <w:ind w:left="0"/>
        <w:contextualSpacing/>
        <w:jc w:val="both"/>
        <w:textAlignment w:val="auto"/>
        <w:rPr>
          <w:rFonts w:ascii="Verdana" w:hAnsi="Verdana"/>
          <w:sz w:val="20"/>
          <w:szCs w:val="20"/>
        </w:rPr>
      </w:pPr>
      <w:r>
        <w:rPr>
          <w:rFonts w:ascii="Verdana" w:hAnsi="Verdana"/>
          <w:sz w:val="20"/>
          <w:szCs w:val="20"/>
        </w:rPr>
      </w:r>
    </w:p>
    <w:p>
      <w:pPr>
        <w:pStyle w:val="ListParagraph"/>
        <w:tabs>
          <w:tab w:val="clear" w:pos="708"/>
          <w:tab w:val="left" w:pos="434" w:leader="none"/>
        </w:tabs>
        <w:overflowPunct w:val="true"/>
        <w:spacing w:lineRule="auto" w:line="240" w:before="0" w:after="0"/>
        <w:ind w:left="0"/>
        <w:contextualSpacing/>
        <w:jc w:val="both"/>
        <w:textAlignment w:val="auto"/>
        <w:rPr>
          <w:rFonts w:ascii="Verdana" w:hAnsi="Verdana"/>
          <w:sz w:val="20"/>
          <w:szCs w:val="20"/>
        </w:rPr>
      </w:pPr>
      <w:r>
        <w:rPr>
          <w:rFonts w:eastAsia="Batang;바탕" w:cs="Verdana" w:ascii="Verdana" w:hAnsi="Verdana"/>
          <w:b/>
          <w:bCs/>
          <w:sz w:val="20"/>
          <w:szCs w:val="20"/>
        </w:rPr>
        <w:t>3.2</w:t>
      </w:r>
      <w:r>
        <w:rPr>
          <w:rFonts w:eastAsia="Batang;바탕" w:cs="Verdana" w:ascii="Verdana" w:hAnsi="Verdana"/>
          <w:sz w:val="20"/>
          <w:szCs w:val="20"/>
        </w:rPr>
        <w:t xml:space="preserve"> O pagamento ocorrerá mediante prestação dos serviços, devidamente </w:t>
      </w:r>
      <w:r>
        <w:rPr>
          <w:rFonts w:cs="Verdana" w:ascii="Verdana" w:hAnsi="Verdana"/>
          <w:sz w:val="20"/>
          <w:szCs w:val="20"/>
        </w:rPr>
        <w:t>certificado/atestado pelo Fiscal do contrato</w:t>
      </w:r>
      <w:r>
        <w:rPr>
          <w:rFonts w:eastAsia="Batang;바탕" w:cs="Verdana" w:ascii="Verdana" w:hAnsi="Verdana"/>
          <w:sz w:val="20"/>
          <w:szCs w:val="20"/>
        </w:rPr>
        <w:t xml:space="preserve"> e processamento do pagamento, respeitando o rito processual discriminado a seguir:</w:t>
      </w:r>
    </w:p>
    <w:p>
      <w:pPr>
        <w:pStyle w:val="Normal"/>
        <w:numPr>
          <w:ilvl w:val="0"/>
          <w:numId w:val="4"/>
        </w:numPr>
        <w:tabs>
          <w:tab w:val="clear" w:pos="708"/>
          <w:tab w:val="left" w:pos="426" w:leader="none"/>
          <w:tab w:val="left" w:pos="960" w:leader="none"/>
        </w:tabs>
        <w:spacing w:lineRule="auto" w:line="240"/>
        <w:ind w:firstLine="567" w:left="0"/>
        <w:jc w:val="both"/>
        <w:rPr>
          <w:rFonts w:ascii="Verdana" w:hAnsi="Verdana"/>
          <w:sz w:val="20"/>
          <w:szCs w:val="20"/>
        </w:rPr>
      </w:pPr>
      <w:r>
        <w:rPr>
          <w:rFonts w:cs="Verdana" w:ascii="Verdana" w:hAnsi="Verdana"/>
          <w:sz w:val="20"/>
          <w:szCs w:val="20"/>
        </w:rPr>
        <w:t>A</w:t>
      </w:r>
      <w:r>
        <w:rPr>
          <w:rFonts w:cs="Verdana" w:ascii="Verdana" w:hAnsi="Verdana"/>
          <w:b/>
          <w:sz w:val="20"/>
          <w:szCs w:val="20"/>
        </w:rPr>
        <w:t xml:space="preserve"> </w:t>
      </w:r>
      <w:r>
        <w:rPr>
          <w:rFonts w:cs="Verdana" w:ascii="Verdana" w:hAnsi="Verdana"/>
          <w:sz w:val="20"/>
          <w:szCs w:val="20"/>
        </w:rPr>
        <w:t>liquidação será feita pela Secretaria Municipal de Saúde, que posteriormente encaminhará ao Departamento de Contabilidade para o processamento legal da despesa necessário ao pagamento a ser feito pelo Departamento de Gestão Financeira e Tesouraria.</w:t>
      </w:r>
    </w:p>
    <w:p>
      <w:pPr>
        <w:pStyle w:val="Normal"/>
        <w:numPr>
          <w:ilvl w:val="0"/>
          <w:numId w:val="4"/>
        </w:numPr>
        <w:tabs>
          <w:tab w:val="clear" w:pos="708"/>
          <w:tab w:val="left" w:pos="426" w:leader="none"/>
          <w:tab w:val="left" w:pos="960" w:leader="none"/>
        </w:tabs>
        <w:spacing w:lineRule="auto" w:line="240"/>
        <w:ind w:firstLine="567" w:left="0"/>
        <w:jc w:val="both"/>
        <w:rPr>
          <w:rFonts w:ascii="Verdana" w:hAnsi="Verdana"/>
          <w:sz w:val="20"/>
          <w:szCs w:val="20"/>
        </w:rPr>
      </w:pPr>
      <w:r>
        <w:rPr>
          <w:rFonts w:cs="Verdana" w:ascii="Verdana" w:hAnsi="Verdana"/>
          <w:sz w:val="20"/>
          <w:szCs w:val="20"/>
        </w:rPr>
        <w:t>O pagamento será efetuado nos termos do requerimento formal devidamente protocolado junto ao protocolo geral desta Prefeitura Municipal de São Gabriel da Palha, constando a Nota Fiscal nos termos dos Protocolos Federais nº 42/2009 combinado com o Protocolo Federal nº 196/2010.</w:t>
      </w:r>
    </w:p>
    <w:p>
      <w:pPr>
        <w:pStyle w:val="Normal"/>
        <w:numPr>
          <w:ilvl w:val="0"/>
          <w:numId w:val="4"/>
        </w:numPr>
        <w:tabs>
          <w:tab w:val="clear" w:pos="708"/>
          <w:tab w:val="left" w:pos="426" w:leader="none"/>
          <w:tab w:val="left" w:pos="960" w:leader="none"/>
        </w:tabs>
        <w:spacing w:lineRule="auto" w:line="240"/>
        <w:ind w:firstLine="567" w:left="0"/>
        <w:jc w:val="both"/>
        <w:rPr>
          <w:rFonts w:ascii="Verdana" w:hAnsi="Verdana"/>
          <w:sz w:val="20"/>
          <w:szCs w:val="20"/>
        </w:rPr>
      </w:pPr>
      <w:r>
        <w:rPr>
          <w:rFonts w:cs="Verdana" w:ascii="Verdana" w:hAnsi="Verdana"/>
          <w:sz w:val="20"/>
          <w:szCs w:val="20"/>
        </w:rPr>
        <w:t>Deverão ser apresentadas com a nota fiscal comprovantes de regularidade junto as Fazendas Públicas Federal, Estadual e Municipal do domicílio ou sede do licitante ou outra equivalente na forma da Lei, bem como as de regularidade relativa a Seguridade Social (INSS) ao Fundo de Garantia do Tempo de Serviço (FGTS) e a Certidão Negativa De Débitos Trabalhistas (CNDT) de acordo com a Lei nº 12.440, de 7 de julho de 2011.</w:t>
      </w:r>
    </w:p>
    <w:p>
      <w:pPr>
        <w:pStyle w:val="Normal"/>
        <w:numPr>
          <w:ilvl w:val="0"/>
          <w:numId w:val="4"/>
        </w:numPr>
        <w:tabs>
          <w:tab w:val="clear" w:pos="708"/>
          <w:tab w:val="left" w:pos="426" w:leader="none"/>
          <w:tab w:val="left" w:pos="960" w:leader="none"/>
        </w:tabs>
        <w:spacing w:lineRule="auto" w:line="240"/>
        <w:ind w:firstLine="567" w:left="0"/>
        <w:jc w:val="both"/>
        <w:rPr>
          <w:rFonts w:ascii="Verdana" w:hAnsi="Verdana"/>
          <w:sz w:val="20"/>
          <w:szCs w:val="20"/>
        </w:rPr>
      </w:pPr>
      <w:r>
        <w:rPr>
          <w:rFonts w:cs="Verdana" w:ascii="Verdana" w:hAnsi="Verdana"/>
          <w:sz w:val="20"/>
          <w:szCs w:val="20"/>
        </w:rPr>
        <w:t>Havendo necessidade de apresentação de novos documentos ou a sua correção, a Contratada será notificada para tomar as providências necessárias, interrompendo a contagem de tempo para efeito de pagamento até a regularização do processo, quando a CONTATADA será considerada apta para o recebimento do pagamento correspondente.</w:t>
      </w:r>
    </w:p>
    <w:p>
      <w:pPr>
        <w:pStyle w:val="Normal"/>
        <w:numPr>
          <w:ilvl w:val="0"/>
          <w:numId w:val="4"/>
        </w:numPr>
        <w:tabs>
          <w:tab w:val="clear" w:pos="708"/>
          <w:tab w:val="left" w:pos="426" w:leader="none"/>
          <w:tab w:val="left" w:pos="960" w:leader="none"/>
        </w:tabs>
        <w:spacing w:lineRule="auto" w:line="240"/>
        <w:ind w:firstLine="567" w:left="0"/>
        <w:jc w:val="both"/>
        <w:rPr>
          <w:rFonts w:ascii="Verdana" w:hAnsi="Verdana"/>
          <w:sz w:val="20"/>
          <w:szCs w:val="20"/>
        </w:rPr>
      </w:pPr>
      <w:r>
        <w:rPr>
          <w:rFonts w:cs="Verdana" w:ascii="Verdana" w:hAnsi="Verdana"/>
          <w:sz w:val="20"/>
          <w:szCs w:val="20"/>
        </w:rPr>
        <w:t>A prefeitura procederá com a retenção do percentual de 11% (onze por cento) sobre o valor total do contrato a título de INSS.</w:t>
      </w:r>
    </w:p>
    <w:p>
      <w:pPr>
        <w:pStyle w:val="Normal"/>
        <w:numPr>
          <w:ilvl w:val="0"/>
          <w:numId w:val="4"/>
        </w:numPr>
        <w:tabs>
          <w:tab w:val="clear" w:pos="708"/>
          <w:tab w:val="left" w:pos="426" w:leader="none"/>
          <w:tab w:val="left" w:pos="960" w:leader="none"/>
        </w:tabs>
        <w:spacing w:lineRule="auto" w:line="240"/>
        <w:ind w:firstLine="567" w:left="0"/>
        <w:jc w:val="both"/>
        <w:rPr>
          <w:rFonts w:ascii="Verdana" w:hAnsi="Verdana"/>
          <w:sz w:val="20"/>
          <w:szCs w:val="20"/>
        </w:rPr>
      </w:pPr>
      <w:r>
        <w:rPr>
          <w:rFonts w:cs="Verdana" w:ascii="Verdana" w:hAnsi="Verdana"/>
          <w:sz w:val="20"/>
          <w:szCs w:val="20"/>
        </w:rPr>
        <w:t>A prefeitura procederá com a retenção do percentual de 1,5% (um e meio por cento) sobre o valor total pactuado a título de Imposto de Renda de Pessoa Jurídica.</w:t>
      </w:r>
    </w:p>
    <w:p>
      <w:pPr>
        <w:pStyle w:val="Normal"/>
        <w:numPr>
          <w:ilvl w:val="0"/>
          <w:numId w:val="4"/>
        </w:numPr>
        <w:tabs>
          <w:tab w:val="clear" w:pos="708"/>
          <w:tab w:val="left" w:pos="426" w:leader="none"/>
          <w:tab w:val="left" w:pos="960" w:leader="none"/>
        </w:tabs>
        <w:spacing w:lineRule="auto" w:line="240"/>
        <w:ind w:firstLine="567" w:left="0"/>
        <w:jc w:val="both"/>
        <w:rPr>
          <w:rFonts w:ascii="Verdana" w:hAnsi="Verdana"/>
          <w:sz w:val="20"/>
          <w:szCs w:val="20"/>
        </w:rPr>
      </w:pPr>
      <w:r>
        <w:rPr>
          <w:rFonts w:cs="Verdana" w:ascii="Verdana" w:hAnsi="Verdana"/>
          <w:sz w:val="20"/>
          <w:szCs w:val="20"/>
        </w:rPr>
        <w:t>No caso de empresa optante pelo SIMPLES, a retenção será no percentual de 1% (um por cento).</w:t>
      </w:r>
    </w:p>
    <w:p>
      <w:pPr>
        <w:pStyle w:val="Normal"/>
        <w:numPr>
          <w:ilvl w:val="0"/>
          <w:numId w:val="4"/>
        </w:numPr>
        <w:tabs>
          <w:tab w:val="clear" w:pos="708"/>
          <w:tab w:val="left" w:pos="426" w:leader="none"/>
          <w:tab w:val="left" w:pos="960" w:leader="none"/>
        </w:tabs>
        <w:spacing w:lineRule="auto" w:line="240"/>
        <w:ind w:firstLine="567" w:left="0"/>
        <w:jc w:val="both"/>
        <w:rPr>
          <w:rFonts w:ascii="Verdana" w:hAnsi="Verdana"/>
          <w:sz w:val="20"/>
          <w:szCs w:val="20"/>
        </w:rPr>
      </w:pPr>
      <w:r>
        <w:rPr>
          <w:rFonts w:cs="Verdana" w:ascii="Verdana" w:hAnsi="Verdana"/>
          <w:sz w:val="20"/>
          <w:szCs w:val="20"/>
        </w:rPr>
        <w:t>O Município fará a retenção do ISSQN na fonte, no percentual de 3% (três por cento) incidente sobre os serviços prestados.</w:t>
      </w:r>
    </w:p>
    <w:p>
      <w:pPr>
        <w:pStyle w:val="Normal"/>
        <w:numPr>
          <w:ilvl w:val="0"/>
          <w:numId w:val="4"/>
        </w:numPr>
        <w:tabs>
          <w:tab w:val="clear" w:pos="708"/>
          <w:tab w:val="left" w:pos="426" w:leader="none"/>
          <w:tab w:val="left" w:pos="960" w:leader="none"/>
        </w:tabs>
        <w:spacing w:lineRule="auto" w:line="240"/>
        <w:ind w:firstLine="567" w:left="0"/>
        <w:jc w:val="both"/>
        <w:rPr>
          <w:rFonts w:ascii="Verdana" w:hAnsi="Verdana"/>
          <w:sz w:val="20"/>
          <w:szCs w:val="20"/>
        </w:rPr>
      </w:pPr>
      <w:r>
        <w:rPr>
          <w:rFonts w:cs="Verdana" w:ascii="Verdana" w:hAnsi="Verdana"/>
          <w:sz w:val="20"/>
          <w:szCs w:val="20"/>
        </w:rPr>
        <w:t>Ocorrendo erros na apresentação da Nota Fiscal, a mesma será devolvida à Contratada para correção, ficando estabelecido que o prazo para pagamento será contado a partir da data de apresentação da nova fatura devidamente corrigida.</w:t>
      </w:r>
    </w:p>
    <w:p>
      <w:pPr>
        <w:pStyle w:val="Normal"/>
        <w:numPr>
          <w:ilvl w:val="0"/>
          <w:numId w:val="4"/>
        </w:numPr>
        <w:tabs>
          <w:tab w:val="clear" w:pos="708"/>
          <w:tab w:val="left" w:pos="426" w:leader="none"/>
          <w:tab w:val="left" w:pos="960" w:leader="none"/>
        </w:tabs>
        <w:spacing w:lineRule="auto" w:line="240"/>
        <w:ind w:firstLine="567" w:left="0"/>
        <w:jc w:val="both"/>
        <w:rPr>
          <w:rFonts w:ascii="Verdana" w:hAnsi="Verdana"/>
          <w:sz w:val="20"/>
          <w:szCs w:val="20"/>
        </w:rPr>
      </w:pPr>
      <w:r>
        <w:rPr>
          <w:rFonts w:cs="Verdana" w:ascii="Verdana" w:hAnsi="Verdana"/>
          <w:sz w:val="20"/>
          <w:szCs w:val="20"/>
        </w:rPr>
        <w:t>No preço deverá estar incluída toda e qualquer despesa, seja relativa a pessoal, impostos, taxas, pedágios, fretes e outras que ocorrerão em virtude da prestação dos serviços, nas condições estipuladas neste contrato</w:t>
      </w:r>
      <w:r>
        <w:rPr>
          <w:rFonts w:eastAsia="Batang;바탕" w:cs="Verdana" w:ascii="Verdana" w:hAnsi="Verdana"/>
          <w:sz w:val="20"/>
          <w:szCs w:val="20"/>
        </w:rPr>
        <w:t>.</w:t>
      </w:r>
    </w:p>
    <w:p>
      <w:pPr>
        <w:pStyle w:val="Normal"/>
        <w:numPr>
          <w:ilvl w:val="0"/>
          <w:numId w:val="4"/>
        </w:numPr>
        <w:tabs>
          <w:tab w:val="clear" w:pos="708"/>
          <w:tab w:val="left" w:pos="426" w:leader="none"/>
          <w:tab w:val="left" w:pos="960" w:leader="none"/>
        </w:tabs>
        <w:spacing w:lineRule="auto" w:line="240"/>
        <w:ind w:firstLine="567" w:left="0"/>
        <w:jc w:val="both"/>
        <w:rPr>
          <w:rFonts w:ascii="Verdana" w:hAnsi="Verdana"/>
          <w:sz w:val="20"/>
          <w:szCs w:val="20"/>
        </w:rPr>
      </w:pPr>
      <w:r>
        <w:rPr>
          <w:rFonts w:cs="Verdana" w:ascii="Verdana" w:hAnsi="Verdana"/>
          <w:sz w:val="20"/>
          <w:szCs w:val="20"/>
        </w:rPr>
        <w:t>A Prefeitura de São Gabriel da Palha poderá deduzir dos pagamentos importâncias que, a qualquer título, lhe forem devidos pela Contratada, em decorrência de descumprimento contratual.</w:t>
      </w:r>
    </w:p>
    <w:p>
      <w:pPr>
        <w:pStyle w:val="Normal"/>
        <w:numPr>
          <w:ilvl w:val="0"/>
          <w:numId w:val="4"/>
        </w:numPr>
        <w:tabs>
          <w:tab w:val="clear" w:pos="708"/>
          <w:tab w:val="left" w:pos="426" w:leader="none"/>
          <w:tab w:val="left" w:pos="960" w:leader="none"/>
        </w:tabs>
        <w:spacing w:lineRule="auto" w:line="240"/>
        <w:ind w:firstLine="567" w:left="0"/>
        <w:jc w:val="both"/>
        <w:rPr>
          <w:rFonts w:ascii="Verdana" w:hAnsi="Verdana"/>
          <w:sz w:val="20"/>
          <w:szCs w:val="20"/>
        </w:rPr>
      </w:pPr>
      <w:r>
        <w:rPr>
          <w:rFonts w:cs="Verdana" w:ascii="Verdana" w:hAnsi="Verdana"/>
          <w:sz w:val="20"/>
          <w:szCs w:val="20"/>
        </w:rPr>
        <w:t>O pagamento da fatura somente será feito em carteira ou cobrança simples, sendo expressamente vedada a contratada a cobrança ou desconto de duplicatas através da rede bancária ou de terceiros.</w:t>
      </w:r>
    </w:p>
    <w:p>
      <w:pPr>
        <w:pStyle w:val="Normal"/>
        <w:numPr>
          <w:ilvl w:val="0"/>
          <w:numId w:val="4"/>
        </w:numPr>
        <w:tabs>
          <w:tab w:val="clear" w:pos="708"/>
          <w:tab w:val="left" w:pos="426" w:leader="none"/>
          <w:tab w:val="left" w:pos="960" w:leader="none"/>
        </w:tabs>
        <w:spacing w:lineRule="auto" w:line="240"/>
        <w:ind w:firstLine="567" w:left="0"/>
        <w:jc w:val="both"/>
        <w:rPr>
          <w:rFonts w:ascii="Verdana" w:hAnsi="Verdana"/>
          <w:sz w:val="20"/>
          <w:szCs w:val="20"/>
        </w:rPr>
      </w:pPr>
      <w:r>
        <w:rPr>
          <w:rFonts w:cs="Verdana" w:ascii="Verdana" w:hAnsi="Verdana"/>
          <w:sz w:val="20"/>
          <w:szCs w:val="20"/>
        </w:rPr>
        <w:t>Para quaisquer pagamentos será exigido o cumprimento das formalidades estabelecidas nesta cláusula.</w:t>
      </w:r>
    </w:p>
    <w:p>
      <w:pPr>
        <w:pStyle w:val="Normal"/>
        <w:tabs>
          <w:tab w:val="clear" w:pos="708"/>
          <w:tab w:val="left" w:pos="426" w:leader="none"/>
          <w:tab w:val="left" w:pos="900" w:leader="none"/>
          <w:tab w:val="left" w:pos="1080" w:leader="none"/>
        </w:tabs>
        <w:spacing w:lineRule="auto" w:line="240"/>
        <w:ind w:left="720"/>
        <w:jc w:val="both"/>
        <w:rPr>
          <w:rFonts w:ascii="Verdana" w:hAnsi="Verdana" w:cs="Verdana"/>
          <w:sz w:val="20"/>
          <w:szCs w:val="20"/>
        </w:rPr>
      </w:pPr>
      <w:r>
        <w:rPr>
          <w:rFonts w:cs="Verdana" w:ascii="Verdana" w:hAnsi="Verdana"/>
          <w:sz w:val="20"/>
          <w:szCs w:val="20"/>
        </w:rPr>
      </w:r>
    </w:p>
    <w:p>
      <w:pPr>
        <w:pStyle w:val="Normal"/>
        <w:spacing w:lineRule="auto" w:line="240"/>
        <w:jc w:val="both"/>
        <w:rPr>
          <w:rFonts w:ascii="Verdana" w:hAnsi="Verdana"/>
          <w:sz w:val="20"/>
          <w:szCs w:val="20"/>
        </w:rPr>
      </w:pPr>
      <w:r>
        <w:rPr>
          <w:rFonts w:cs="Verdana" w:ascii="Verdana" w:hAnsi="Verdana"/>
          <w:b/>
          <w:sz w:val="20"/>
          <w:szCs w:val="20"/>
          <w:u w:val="single"/>
        </w:rPr>
        <w:t>CLÁUSULA QUARTA – DO REAJUSTE</w:t>
      </w:r>
    </w:p>
    <w:p>
      <w:pPr>
        <w:pStyle w:val="ListParagraph"/>
        <w:keepNext w:val="true"/>
        <w:keepLines/>
        <w:numPr>
          <w:ilvl w:val="0"/>
          <w:numId w:val="5"/>
        </w:numPr>
        <w:tabs>
          <w:tab w:val="clear" w:pos="708"/>
          <w:tab w:val="left" w:pos="567" w:leader="none"/>
        </w:tabs>
        <w:suppressAutoHyphens w:val="false"/>
        <w:overflowPunct w:val="true"/>
        <w:spacing w:lineRule="auto" w:line="276" w:before="240" w:after="0"/>
        <w:ind w:hanging="0" w:left="0"/>
        <w:jc w:val="both"/>
        <w:textAlignment w:val="auto"/>
        <w:outlineLvl w:val="0"/>
        <w:rPr>
          <w:rFonts w:ascii="Verdana" w:hAnsi="Verdana" w:eastAsia="MS Gothic;ＭＳ ゴシック" w:cs="Arial"/>
          <w:b/>
          <w:bCs/>
          <w:vanish/>
          <w:sz w:val="20"/>
          <w:szCs w:val="20"/>
          <w:u w:val="single"/>
          <w:lang w:eastAsia="pt-BR"/>
        </w:rPr>
      </w:pPr>
      <w:r>
        <w:rPr>
          <w:rFonts w:eastAsia="MS Gothic;ＭＳ ゴシック" w:cs="Arial" w:ascii="Verdana" w:hAnsi="Verdana"/>
          <w:b/>
          <w:bCs/>
          <w:vanish/>
          <w:sz w:val="20"/>
          <w:szCs w:val="20"/>
          <w:u w:val="single"/>
          <w:lang w:eastAsia="pt-BR"/>
        </w:rPr>
      </w:r>
    </w:p>
    <w:p>
      <w:pPr>
        <w:pStyle w:val="ListParagraph"/>
        <w:keepNext w:val="true"/>
        <w:keepLines/>
        <w:numPr>
          <w:ilvl w:val="0"/>
          <w:numId w:val="5"/>
        </w:numPr>
        <w:tabs>
          <w:tab w:val="clear" w:pos="708"/>
          <w:tab w:val="left" w:pos="567" w:leader="none"/>
        </w:tabs>
        <w:suppressAutoHyphens w:val="false"/>
        <w:overflowPunct w:val="true"/>
        <w:spacing w:lineRule="auto" w:line="276" w:before="240" w:after="0"/>
        <w:ind w:hanging="0" w:left="0"/>
        <w:jc w:val="both"/>
        <w:textAlignment w:val="auto"/>
        <w:outlineLvl w:val="0"/>
        <w:rPr>
          <w:rFonts w:ascii="Verdana" w:hAnsi="Verdana" w:eastAsia="MS Gothic;ＭＳ ゴシック" w:cs="Arial"/>
          <w:b/>
          <w:bCs/>
          <w:vanish/>
          <w:sz w:val="20"/>
          <w:szCs w:val="20"/>
          <w:lang w:eastAsia="pt-BR"/>
        </w:rPr>
      </w:pPr>
      <w:r>
        <w:rPr>
          <w:rFonts w:eastAsia="MS Gothic;ＭＳ ゴシック" w:cs="Arial" w:ascii="Verdana" w:hAnsi="Verdana"/>
          <w:b/>
          <w:bCs/>
          <w:vanish/>
          <w:sz w:val="20"/>
          <w:szCs w:val="20"/>
          <w:lang w:eastAsia="pt-BR"/>
        </w:rPr>
      </w:r>
    </w:p>
    <w:p>
      <w:pPr>
        <w:pStyle w:val="ListParagraph"/>
        <w:keepNext w:val="true"/>
        <w:keepLines/>
        <w:numPr>
          <w:ilvl w:val="0"/>
          <w:numId w:val="5"/>
        </w:numPr>
        <w:tabs>
          <w:tab w:val="clear" w:pos="708"/>
          <w:tab w:val="left" w:pos="567" w:leader="none"/>
        </w:tabs>
        <w:suppressAutoHyphens w:val="false"/>
        <w:overflowPunct w:val="true"/>
        <w:spacing w:lineRule="auto" w:line="276" w:before="240" w:after="0"/>
        <w:ind w:hanging="0" w:left="0"/>
        <w:jc w:val="both"/>
        <w:textAlignment w:val="auto"/>
        <w:outlineLvl w:val="0"/>
        <w:rPr>
          <w:rFonts w:ascii="Verdana" w:hAnsi="Verdana" w:eastAsia="MS Gothic;ＭＳ ゴシック" w:cs="Arial"/>
          <w:b/>
          <w:bCs/>
          <w:vanish/>
          <w:sz w:val="20"/>
          <w:szCs w:val="20"/>
          <w:lang w:eastAsia="pt-BR"/>
        </w:rPr>
      </w:pPr>
      <w:r>
        <w:rPr>
          <w:rFonts w:eastAsia="MS Gothic;ＭＳ ゴシック" w:cs="Arial" w:ascii="Verdana" w:hAnsi="Verdana"/>
          <w:b/>
          <w:bCs/>
          <w:vanish/>
          <w:sz w:val="20"/>
          <w:szCs w:val="20"/>
          <w:lang w:eastAsia="pt-BR"/>
        </w:rPr>
      </w:r>
    </w:p>
    <w:p>
      <w:pPr>
        <w:pStyle w:val="ListParagraph"/>
        <w:keepNext w:val="true"/>
        <w:keepLines/>
        <w:numPr>
          <w:ilvl w:val="0"/>
          <w:numId w:val="5"/>
        </w:numPr>
        <w:tabs>
          <w:tab w:val="clear" w:pos="708"/>
          <w:tab w:val="left" w:pos="567" w:leader="none"/>
        </w:tabs>
        <w:suppressAutoHyphens w:val="false"/>
        <w:overflowPunct w:val="true"/>
        <w:spacing w:lineRule="auto" w:line="276" w:before="240" w:after="0"/>
        <w:ind w:hanging="0" w:left="0"/>
        <w:jc w:val="both"/>
        <w:textAlignment w:val="auto"/>
        <w:outlineLvl w:val="0"/>
        <w:rPr>
          <w:rFonts w:ascii="Verdana" w:hAnsi="Verdana" w:eastAsia="MS Gothic;ＭＳ ゴシック" w:cs="Arial"/>
          <w:b/>
          <w:bCs/>
          <w:vanish/>
          <w:sz w:val="20"/>
          <w:szCs w:val="20"/>
          <w:lang w:eastAsia="pt-BR"/>
        </w:rPr>
      </w:pPr>
      <w:r>
        <w:rPr>
          <w:rFonts w:eastAsia="MS Gothic;ＭＳ ゴシック" w:cs="Arial" w:ascii="Verdana" w:hAnsi="Verdana"/>
          <w:b/>
          <w:bCs/>
          <w:vanish/>
          <w:sz w:val="20"/>
          <w:szCs w:val="20"/>
          <w:lang w:eastAsia="pt-BR"/>
        </w:rPr>
      </w:r>
    </w:p>
    <w:p>
      <w:pPr>
        <w:pStyle w:val="Nivel2"/>
        <w:tabs>
          <w:tab w:val="clear" w:pos="0"/>
        </w:tabs>
        <w:spacing w:lineRule="auto" w:line="240" w:before="0" w:after="0"/>
        <w:rPr>
          <w:rFonts w:ascii="Verdana" w:hAnsi="Verdana"/>
          <w:sz w:val="20"/>
          <w:szCs w:val="20"/>
        </w:rPr>
      </w:pPr>
      <w:r>
        <w:rPr>
          <w:rFonts w:cs="Verdana" w:ascii="Verdana" w:hAnsi="Verdana"/>
          <w:b/>
          <w:bCs/>
          <w:sz w:val="20"/>
          <w:szCs w:val="20"/>
        </w:rPr>
        <w:t xml:space="preserve">4.1. </w:t>
      </w:r>
      <w:bookmarkStart w:id="1" w:name="_Hlk146015535"/>
      <w:r>
        <w:rPr>
          <w:rFonts w:cs="Verdana" w:ascii="Verdana" w:hAnsi="Verdana"/>
          <w:sz w:val="20"/>
          <w:szCs w:val="20"/>
        </w:rPr>
        <w:t>Os preços inicialmente contratados são fixos e irreajustáveis no prazo de um ano contado da data da apresentação da proposta, em</w:t>
      </w:r>
      <w:r>
        <w:rPr>
          <w:rFonts w:cs="Verdana" w:ascii="Verdana" w:hAnsi="Verdana"/>
          <w:b/>
          <w:bCs/>
          <w:i/>
          <w:iCs/>
          <w:color w:val="FF0000"/>
          <w:sz w:val="20"/>
          <w:szCs w:val="20"/>
        </w:rPr>
        <w:t>__/__/__ (DD/MM/AAAA)</w:t>
      </w:r>
      <w:r>
        <w:rPr>
          <w:rFonts w:cs="Verdana" w:ascii="Verdana" w:hAnsi="Verdana"/>
          <w:sz w:val="20"/>
          <w:szCs w:val="20"/>
        </w:rPr>
        <w:t>.</w:t>
      </w:r>
      <w:bookmarkEnd w:id="1"/>
    </w:p>
    <w:p>
      <w:pPr>
        <w:pStyle w:val="ListParagraph"/>
        <w:keepNext w:val="true"/>
        <w:keepLines/>
        <w:numPr>
          <w:ilvl w:val="0"/>
          <w:numId w:val="5"/>
        </w:numPr>
        <w:tabs>
          <w:tab w:val="clear" w:pos="708"/>
          <w:tab w:val="left" w:pos="567" w:leader="none"/>
        </w:tabs>
        <w:suppressAutoHyphens w:val="false"/>
        <w:overflowPunct w:val="true"/>
        <w:spacing w:lineRule="auto" w:line="276" w:before="240" w:after="0"/>
        <w:ind w:hanging="0" w:left="0"/>
        <w:jc w:val="both"/>
        <w:textAlignment w:val="auto"/>
        <w:outlineLvl w:val="0"/>
        <w:rPr>
          <w:rFonts w:ascii="Verdana" w:hAnsi="Verdana" w:eastAsia="MS Gothic;ＭＳ ゴシック" w:cs="Arial"/>
          <w:b/>
          <w:bCs/>
          <w:vanish/>
          <w:sz w:val="20"/>
          <w:szCs w:val="20"/>
          <w:u w:val="single"/>
          <w:lang w:eastAsia="pt-BR"/>
        </w:rPr>
      </w:pPr>
      <w:r>
        <w:rPr>
          <w:rFonts w:eastAsia="MS Gothic;ＭＳ ゴシック" w:cs="Arial" w:ascii="Verdana" w:hAnsi="Verdana"/>
          <w:b/>
          <w:bCs/>
          <w:vanish/>
          <w:sz w:val="20"/>
          <w:szCs w:val="20"/>
          <w:u w:val="single"/>
          <w:lang w:eastAsia="pt-BR"/>
        </w:rPr>
      </w:r>
    </w:p>
    <w:p>
      <w:pPr>
        <w:pStyle w:val="ListParagraph"/>
        <w:keepNext w:val="true"/>
        <w:keepLines/>
        <w:numPr>
          <w:ilvl w:val="0"/>
          <w:numId w:val="5"/>
        </w:numPr>
        <w:tabs>
          <w:tab w:val="clear" w:pos="708"/>
          <w:tab w:val="left" w:pos="567" w:leader="none"/>
        </w:tabs>
        <w:suppressAutoHyphens w:val="false"/>
        <w:overflowPunct w:val="true"/>
        <w:spacing w:lineRule="auto" w:line="276" w:before="240" w:after="0"/>
        <w:ind w:hanging="0" w:left="0"/>
        <w:jc w:val="both"/>
        <w:textAlignment w:val="auto"/>
        <w:outlineLvl w:val="0"/>
        <w:rPr>
          <w:rFonts w:ascii="Verdana" w:hAnsi="Verdana" w:eastAsia="MS Gothic;ＭＳ ゴシック" w:cs="Arial"/>
          <w:b/>
          <w:bCs/>
          <w:vanish/>
          <w:sz w:val="20"/>
          <w:szCs w:val="20"/>
          <w:lang w:eastAsia="pt-BR"/>
        </w:rPr>
      </w:pPr>
      <w:r>
        <w:rPr>
          <w:rFonts w:eastAsia="MS Gothic;ＭＳ ゴシック" w:cs="Arial" w:ascii="Verdana" w:hAnsi="Verdana"/>
          <w:b/>
          <w:bCs/>
          <w:vanish/>
          <w:sz w:val="20"/>
          <w:szCs w:val="20"/>
          <w:lang w:eastAsia="pt-BR"/>
        </w:rPr>
      </w:r>
    </w:p>
    <w:p>
      <w:pPr>
        <w:pStyle w:val="ListParagraph"/>
        <w:keepNext w:val="true"/>
        <w:keepLines/>
        <w:numPr>
          <w:ilvl w:val="0"/>
          <w:numId w:val="5"/>
        </w:numPr>
        <w:tabs>
          <w:tab w:val="clear" w:pos="708"/>
          <w:tab w:val="left" w:pos="567" w:leader="none"/>
        </w:tabs>
        <w:suppressAutoHyphens w:val="false"/>
        <w:overflowPunct w:val="true"/>
        <w:spacing w:lineRule="auto" w:line="276" w:before="240" w:after="0"/>
        <w:ind w:hanging="0" w:left="0"/>
        <w:jc w:val="both"/>
        <w:textAlignment w:val="auto"/>
        <w:outlineLvl w:val="0"/>
        <w:rPr>
          <w:rFonts w:ascii="Verdana" w:hAnsi="Verdana" w:eastAsia="MS Gothic;ＭＳ ゴシック" w:cs="Arial"/>
          <w:b/>
          <w:bCs/>
          <w:vanish/>
          <w:sz w:val="20"/>
          <w:szCs w:val="20"/>
          <w:lang w:eastAsia="pt-BR"/>
        </w:rPr>
      </w:pPr>
      <w:r>
        <w:rPr>
          <w:rFonts w:eastAsia="MS Gothic;ＭＳ ゴシック" w:cs="Arial" w:ascii="Verdana" w:hAnsi="Verdana"/>
          <w:b/>
          <w:bCs/>
          <w:vanish/>
          <w:sz w:val="20"/>
          <w:szCs w:val="20"/>
          <w:lang w:eastAsia="pt-BR"/>
        </w:rPr>
      </w:r>
    </w:p>
    <w:p>
      <w:pPr>
        <w:pStyle w:val="ListParagraph"/>
        <w:keepNext w:val="true"/>
        <w:keepLines/>
        <w:numPr>
          <w:ilvl w:val="0"/>
          <w:numId w:val="5"/>
        </w:numPr>
        <w:tabs>
          <w:tab w:val="clear" w:pos="708"/>
          <w:tab w:val="left" w:pos="567" w:leader="none"/>
        </w:tabs>
        <w:suppressAutoHyphens w:val="false"/>
        <w:overflowPunct w:val="true"/>
        <w:spacing w:lineRule="auto" w:line="276" w:before="240" w:after="0"/>
        <w:ind w:hanging="0" w:left="0"/>
        <w:jc w:val="both"/>
        <w:textAlignment w:val="auto"/>
        <w:outlineLvl w:val="0"/>
        <w:rPr>
          <w:rFonts w:ascii="Verdana" w:hAnsi="Verdana" w:eastAsia="MS Gothic;ＭＳ ゴシック" w:cs="Arial"/>
          <w:b/>
          <w:bCs/>
          <w:vanish/>
          <w:sz w:val="20"/>
          <w:szCs w:val="20"/>
          <w:lang w:eastAsia="pt-BR"/>
        </w:rPr>
      </w:pPr>
      <w:r>
        <w:rPr>
          <w:rFonts w:eastAsia="MS Gothic;ＭＳ ゴシック" w:cs="Arial" w:ascii="Verdana" w:hAnsi="Verdana"/>
          <w:b/>
          <w:bCs/>
          <w:vanish/>
          <w:sz w:val="20"/>
          <w:szCs w:val="20"/>
          <w:lang w:eastAsia="pt-BR"/>
        </w:rPr>
      </w:r>
    </w:p>
    <w:p>
      <w:pPr>
        <w:pStyle w:val="Normal"/>
        <w:tabs>
          <w:tab w:val="clear" w:pos="708"/>
          <w:tab w:val="left" w:pos="0" w:leader="none"/>
          <w:tab w:val="left" w:pos="1026" w:leader="none"/>
          <w:tab w:val="left" w:pos="1812"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360" w:leader="none"/>
          <w:tab w:val="left" w:pos="10080" w:leader="none"/>
        </w:tabs>
        <w:spacing w:lineRule="auto" w:line="240"/>
        <w:jc w:val="both"/>
        <w:rPr>
          <w:rFonts w:ascii="Verdana" w:hAnsi="Verdana" w:cs="Verdana"/>
          <w:b/>
          <w:sz w:val="20"/>
          <w:szCs w:val="20"/>
          <w:u w:val="single"/>
        </w:rPr>
      </w:pPr>
      <w:r>
        <w:rPr>
          <w:rFonts w:cs="Verdana" w:ascii="Verdana" w:hAnsi="Verdana"/>
          <w:b/>
          <w:sz w:val="20"/>
          <w:szCs w:val="20"/>
          <w:u w:val="single"/>
        </w:rPr>
      </w:r>
    </w:p>
    <w:p>
      <w:pPr>
        <w:pStyle w:val="Normal"/>
        <w:tabs>
          <w:tab w:val="clear" w:pos="708"/>
          <w:tab w:val="left" w:pos="0" w:leader="none"/>
          <w:tab w:val="left" w:pos="1026" w:leader="none"/>
          <w:tab w:val="left" w:pos="1812"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360" w:leader="none"/>
          <w:tab w:val="left" w:pos="10080" w:leader="none"/>
        </w:tabs>
        <w:spacing w:lineRule="auto" w:line="240"/>
        <w:jc w:val="both"/>
        <w:rPr>
          <w:rFonts w:ascii="Verdana" w:hAnsi="Verdana"/>
          <w:sz w:val="20"/>
          <w:szCs w:val="20"/>
        </w:rPr>
      </w:pPr>
      <w:r>
        <w:rPr>
          <w:rFonts w:cs="Verdana" w:ascii="Verdana" w:hAnsi="Verdana"/>
          <w:b/>
          <w:sz w:val="20"/>
          <w:szCs w:val="20"/>
          <w:u w:val="single"/>
        </w:rPr>
        <w:t xml:space="preserve">CLÁUSULA QUINTA – </w:t>
      </w:r>
      <w:r>
        <w:rPr>
          <w:rFonts w:eastAsia="Batang;바탕" w:cs="Verdana" w:ascii="Verdana" w:hAnsi="Verdana"/>
          <w:b/>
          <w:sz w:val="20"/>
          <w:szCs w:val="20"/>
          <w:u w:val="single"/>
        </w:rPr>
        <w:t>DA DOTAÇÃO ORÇAMENTÁRIA</w:t>
      </w:r>
    </w:p>
    <w:p>
      <w:pPr>
        <w:pStyle w:val="Normal"/>
        <w:tabs>
          <w:tab w:val="clear" w:pos="708"/>
          <w:tab w:val="left" w:pos="10348" w:leader="none"/>
        </w:tabs>
        <w:spacing w:lineRule="auto" w:line="240"/>
        <w:ind w:right="-1"/>
        <w:jc w:val="both"/>
        <w:rPr>
          <w:rFonts w:ascii="Verdana" w:hAnsi="Verdana"/>
          <w:sz w:val="20"/>
          <w:szCs w:val="20"/>
        </w:rPr>
      </w:pPr>
      <w:r>
        <w:rPr>
          <w:rFonts w:cs="Verdana" w:ascii="Verdana" w:hAnsi="Verdana"/>
          <w:b/>
          <w:sz w:val="20"/>
          <w:szCs w:val="20"/>
        </w:rPr>
        <w:t xml:space="preserve">5.1. </w:t>
      </w:r>
      <w:r>
        <w:rPr>
          <w:rFonts w:cs="Verdana" w:ascii="Verdana" w:hAnsi="Verdana"/>
          <w:sz w:val="20"/>
          <w:szCs w:val="20"/>
        </w:rPr>
        <w:t>As despesas decorrentes desta licitação correrão por conta da seguinte dotação orçamentária.</w:t>
      </w:r>
    </w:p>
    <w:p>
      <w:pPr>
        <w:pStyle w:val="Normal"/>
        <w:spacing w:lineRule="auto" w:line="240"/>
        <w:jc w:val="both"/>
        <w:rPr>
          <w:rFonts w:ascii="Verdana" w:hAnsi="Verdana"/>
          <w:sz w:val="20"/>
          <w:szCs w:val="20"/>
        </w:rPr>
      </w:pPr>
      <w:r>
        <w:rPr>
          <w:rFonts w:cs="Arial" w:ascii="Verdana" w:hAnsi="Verdana"/>
          <w:b w:val="false"/>
          <w:bCs w:val="false"/>
          <w:sz w:val="20"/>
          <w:szCs w:val="20"/>
        </w:rPr>
        <w:t xml:space="preserve">Onde o </w:t>
      </w:r>
      <w:r>
        <w:rPr>
          <w:rFonts w:eastAsia="Times New Roman" w:cs="Arial" w:ascii="Verdana" w:hAnsi="Verdana"/>
          <w:b w:val="false"/>
          <w:bCs/>
          <w:color w:val="000000"/>
          <w:kern w:val="0"/>
          <w:sz w:val="20"/>
          <w:szCs w:val="20"/>
          <w:shd w:fill="FFFFFF" w:val="clear"/>
          <w:lang w:val="pt-BR" w:eastAsia="pt-BR" w:bidi="ar-SA"/>
        </w:rPr>
        <w:t xml:space="preserve">Projeto/Atividade – 000004000002.1030342062.409 – Manutenção do Programa de Assistência Farmacêutica- FICHA Nº 545 (DIST. GRATUITA) – Fonte de Recurso 150000150000 ficando na responsabilidade </w:t>
      </w:r>
      <w:r>
        <w:rPr>
          <w:rFonts w:eastAsia="Times New Roman" w:cs="Arial" w:ascii="Verdana" w:hAnsi="Verdana"/>
          <w:b w:val="false"/>
          <w:bCs w:val="false"/>
          <w:color w:val="000000"/>
          <w:kern w:val="0"/>
          <w:sz w:val="20"/>
          <w:szCs w:val="20"/>
          <w:shd w:fill="FFFFFF" w:val="clear"/>
          <w:lang w:val="pt-BR" w:eastAsia="pt-BR" w:bidi="ar-SA"/>
        </w:rPr>
        <w:t>recurso FUNDO MUNICIPAL DE SAÚDE.</w:t>
      </w:r>
    </w:p>
    <w:p>
      <w:pPr>
        <w:pStyle w:val="Normal"/>
        <w:spacing w:lineRule="auto" w:line="240"/>
        <w:jc w:val="both"/>
        <w:rPr>
          <w:rFonts w:ascii="Verdana" w:hAnsi="Verdana" w:cs="Verdana"/>
          <w:b/>
          <w:bCs/>
          <w:sz w:val="20"/>
          <w:szCs w:val="20"/>
          <w:u w:val="single"/>
        </w:rPr>
      </w:pPr>
      <w:r>
        <w:rPr>
          <w:rFonts w:cs="Verdana" w:ascii="Verdana" w:hAnsi="Verdana"/>
          <w:b/>
          <w:bCs/>
          <w:sz w:val="20"/>
          <w:szCs w:val="20"/>
          <w:u w:val="single"/>
        </w:rPr>
      </w:r>
    </w:p>
    <w:p>
      <w:pPr>
        <w:pStyle w:val="Normal"/>
        <w:spacing w:lineRule="auto" w:line="240"/>
        <w:jc w:val="both"/>
        <w:rPr>
          <w:rFonts w:ascii="Verdana" w:hAnsi="Verdana"/>
          <w:sz w:val="20"/>
          <w:szCs w:val="20"/>
        </w:rPr>
      </w:pPr>
      <w:r>
        <w:rPr>
          <w:rFonts w:cs="Verdana" w:ascii="Verdana" w:hAnsi="Verdana"/>
          <w:b/>
          <w:sz w:val="20"/>
          <w:szCs w:val="20"/>
          <w:u w:val="single"/>
        </w:rPr>
        <w:t>CLÁUSULA SEXTA – VIGÊNCIA</w:t>
      </w:r>
    </w:p>
    <w:p>
      <w:pPr>
        <w:pStyle w:val="Normal"/>
        <w:spacing w:lineRule="auto" w:line="240"/>
        <w:ind w:firstLine="14"/>
        <w:jc w:val="both"/>
        <w:rPr>
          <w:rFonts w:ascii="Verdana" w:hAnsi="Verdana"/>
          <w:sz w:val="20"/>
          <w:szCs w:val="20"/>
        </w:rPr>
      </w:pPr>
      <w:r>
        <w:rPr>
          <w:rFonts w:cs="Verdana" w:ascii="Verdana" w:hAnsi="Verdana"/>
          <w:b/>
          <w:sz w:val="20"/>
          <w:szCs w:val="20"/>
        </w:rPr>
        <w:t>6.1.</w:t>
      </w:r>
      <w:r>
        <w:rPr>
          <w:rFonts w:cs="Verdana" w:ascii="Verdana" w:hAnsi="Verdana"/>
          <w:sz w:val="20"/>
          <w:szCs w:val="20"/>
        </w:rPr>
        <w:t xml:space="preserve"> A vigência do contrato será de até 12 (doze) meses, pod</w:t>
      </w:r>
      <w:r>
        <w:rPr>
          <w:rFonts w:cs="Verdana" w:ascii="Verdana" w:hAnsi="Verdana"/>
          <w:sz w:val="20"/>
          <w:szCs w:val="20"/>
        </w:rPr>
        <w:t>e</w:t>
      </w:r>
      <w:r>
        <w:rPr>
          <w:rFonts w:cs="Verdana" w:ascii="Verdana" w:hAnsi="Verdana"/>
          <w:sz w:val="20"/>
          <w:szCs w:val="20"/>
        </w:rPr>
        <w:t>ndo ser prorrogado por igual período.</w:t>
      </w:r>
    </w:p>
    <w:p>
      <w:pPr>
        <w:pStyle w:val="Normal"/>
        <w:spacing w:lineRule="auto" w:line="240"/>
        <w:ind w:firstLine="14"/>
        <w:jc w:val="both"/>
        <w:rPr>
          <w:rFonts w:ascii="Verdana" w:hAnsi="Verdana"/>
          <w:sz w:val="20"/>
          <w:szCs w:val="20"/>
        </w:rPr>
      </w:pPr>
      <w:r>
        <w:rPr>
          <w:rFonts w:cs="Verdana" w:ascii="Verdana" w:hAnsi="Verdana"/>
          <w:b/>
          <w:sz w:val="20"/>
          <w:szCs w:val="20"/>
        </w:rPr>
        <w:t>6.2.</w:t>
      </w:r>
      <w:r>
        <w:rPr>
          <w:rFonts w:cs="Verdana" w:ascii="Verdana" w:hAnsi="Verdana"/>
          <w:sz w:val="20"/>
          <w:szCs w:val="20"/>
        </w:rPr>
        <w:t xml:space="preserve"> O prazo previsto poderá ser prorrogado exclusivamente a critério da CONTRATANTE se entender ser conveniente para a Administração, nos termos da Lei.</w:t>
      </w:r>
    </w:p>
    <w:p>
      <w:pPr>
        <w:pStyle w:val="Normal"/>
        <w:spacing w:lineRule="auto" w:line="240"/>
        <w:ind w:firstLine="14"/>
        <w:jc w:val="both"/>
        <w:rPr>
          <w:rFonts w:ascii="Verdana" w:hAnsi="Verdana"/>
          <w:sz w:val="20"/>
          <w:szCs w:val="20"/>
        </w:rPr>
      </w:pPr>
      <w:r>
        <w:rPr>
          <w:rFonts w:ascii="Verdana" w:hAnsi="Verdana"/>
          <w:sz w:val="20"/>
          <w:szCs w:val="20"/>
        </w:rPr>
      </w:r>
    </w:p>
    <w:p>
      <w:pPr>
        <w:pStyle w:val="Normal"/>
        <w:spacing w:lineRule="auto" w:line="240"/>
        <w:jc w:val="both"/>
        <w:rPr>
          <w:rFonts w:ascii="Verdana" w:hAnsi="Verdana"/>
          <w:sz w:val="20"/>
          <w:szCs w:val="20"/>
        </w:rPr>
      </w:pPr>
      <w:r>
        <w:rPr>
          <w:rFonts w:cs="Verdana" w:ascii="Verdana" w:hAnsi="Verdana"/>
          <w:b/>
          <w:sz w:val="20"/>
          <w:szCs w:val="20"/>
          <w:u w:val="single"/>
        </w:rPr>
        <w:t>CLÁUSULA SÉTIMA – OBRIGAÇÕES DA CONTRATADA</w:t>
      </w:r>
    </w:p>
    <w:p>
      <w:pPr>
        <w:pStyle w:val="Normal"/>
        <w:spacing w:lineRule="auto" w:line="240"/>
        <w:jc w:val="both"/>
        <w:rPr>
          <w:rFonts w:ascii="Verdana" w:hAnsi="Verdana"/>
          <w:sz w:val="20"/>
          <w:szCs w:val="20"/>
        </w:rPr>
      </w:pPr>
      <w:r>
        <w:rPr>
          <w:rFonts w:cs="Verdana" w:ascii="Verdana" w:hAnsi="Verdana"/>
          <w:b/>
          <w:sz w:val="20"/>
          <w:szCs w:val="20"/>
        </w:rPr>
        <w:t xml:space="preserve">7.1. </w:t>
      </w:r>
      <w:r>
        <w:rPr>
          <w:rFonts w:cs="Verdana" w:ascii="Verdana" w:hAnsi="Verdana"/>
          <w:b/>
          <w:color w:val="000000"/>
          <w:sz w:val="20"/>
          <w:szCs w:val="20"/>
        </w:rPr>
        <w:t>Fornecer o objeto, rigorosamente de acordo com as normas e especificações constantes neste Termo de Referência, obedecidos, dentre outros, os critérios e padrões de qualidade predeterminados;</w:t>
      </w:r>
    </w:p>
    <w:p>
      <w:pPr>
        <w:pStyle w:val="PargrafodaLista"/>
        <w:tabs>
          <w:tab w:val="clear" w:pos="708"/>
          <w:tab w:val="left" w:pos="518" w:leader="none"/>
        </w:tabs>
        <w:spacing w:lineRule="auto" w:line="240"/>
        <w:ind w:left="0" w:right="0"/>
        <w:jc w:val="both"/>
        <w:rPr>
          <w:rFonts w:ascii="Verdana" w:hAnsi="Verdana"/>
          <w:sz w:val="20"/>
          <w:szCs w:val="20"/>
        </w:rPr>
      </w:pPr>
      <w:r>
        <w:rPr>
          <w:rFonts w:cs="Verdana" w:ascii="Verdana" w:hAnsi="Verdana"/>
          <w:b/>
          <w:bCs/>
          <w:sz w:val="20"/>
          <w:szCs w:val="20"/>
        </w:rPr>
        <w:t>7</w:t>
      </w:r>
      <w:r>
        <w:rPr>
          <w:rFonts w:cs="Verdana" w:ascii="Verdana" w:hAnsi="Verdana"/>
          <w:b/>
          <w:bCs/>
          <w:sz w:val="20"/>
          <w:szCs w:val="20"/>
        </w:rPr>
        <w:t>.2</w:t>
      </w:r>
      <w:r>
        <w:rPr>
          <w:rFonts w:cs="Verdana" w:ascii="Verdana" w:hAnsi="Verdana"/>
          <w:sz w:val="20"/>
          <w:szCs w:val="20"/>
        </w:rPr>
        <w:t xml:space="preserve"> Respeitar fielmente os prazos de entrega, e no caso de eventual atraso, comunicar ao Setor Administrativo da Secretaria requisitante imediatamente os motivos que impossibilitem o seu cumprimento;</w:t>
      </w:r>
    </w:p>
    <w:p>
      <w:pPr>
        <w:pStyle w:val="PargrafodaLista"/>
        <w:tabs>
          <w:tab w:val="clear" w:pos="708"/>
          <w:tab w:val="left" w:pos="518" w:leader="none"/>
        </w:tabs>
        <w:spacing w:lineRule="auto" w:line="240"/>
        <w:ind w:left="0" w:right="0"/>
        <w:jc w:val="both"/>
        <w:rPr>
          <w:rFonts w:ascii="Verdana" w:hAnsi="Verdana"/>
          <w:sz w:val="20"/>
          <w:szCs w:val="20"/>
        </w:rPr>
      </w:pPr>
      <w:r>
        <w:rPr>
          <w:rFonts w:cs="Verdana" w:ascii="Verdana" w:hAnsi="Verdana"/>
          <w:b/>
          <w:bCs/>
          <w:sz w:val="20"/>
          <w:szCs w:val="20"/>
        </w:rPr>
        <w:t>7</w:t>
      </w:r>
      <w:r>
        <w:rPr>
          <w:rFonts w:cs="Verdana" w:ascii="Verdana" w:hAnsi="Verdana"/>
          <w:b/>
          <w:bCs/>
          <w:sz w:val="20"/>
          <w:szCs w:val="20"/>
        </w:rPr>
        <w:t>.3</w:t>
      </w:r>
      <w:r>
        <w:rPr>
          <w:rFonts w:cs="Verdana" w:ascii="Verdana" w:hAnsi="Verdana"/>
          <w:sz w:val="20"/>
          <w:szCs w:val="20"/>
        </w:rPr>
        <w:t xml:space="preserve"> Reparar, corrigir, remover, às suas expensas, no todo ou em parte, o(s) material (s) em que se verifique(m) danos em decorrência do transporte, bem como, providenciar a substituição dos mesmos, no prazo máximo de 24 (vinte e quatro) horas, contados da notificação que lhe for entregue oficialmente;</w:t>
      </w:r>
    </w:p>
    <w:p>
      <w:pPr>
        <w:pStyle w:val="PargrafodaLista"/>
        <w:tabs>
          <w:tab w:val="clear" w:pos="708"/>
          <w:tab w:val="left" w:pos="518" w:leader="none"/>
        </w:tabs>
        <w:spacing w:lineRule="auto" w:line="240"/>
        <w:ind w:left="0" w:right="0"/>
        <w:jc w:val="both"/>
        <w:rPr>
          <w:rFonts w:ascii="Verdana" w:hAnsi="Verdana"/>
          <w:sz w:val="20"/>
          <w:szCs w:val="20"/>
        </w:rPr>
      </w:pPr>
      <w:r>
        <w:rPr>
          <w:rFonts w:cs="Verdana" w:ascii="Verdana" w:hAnsi="Verdana"/>
          <w:b/>
          <w:bCs/>
          <w:sz w:val="20"/>
          <w:szCs w:val="20"/>
        </w:rPr>
        <w:t>7</w:t>
      </w:r>
      <w:r>
        <w:rPr>
          <w:rFonts w:cs="Verdana" w:ascii="Verdana" w:hAnsi="Verdana"/>
          <w:b/>
          <w:bCs/>
          <w:sz w:val="20"/>
          <w:szCs w:val="20"/>
        </w:rPr>
        <w:t>.4</w:t>
      </w:r>
      <w:r>
        <w:rPr>
          <w:rFonts w:cs="Verdana" w:ascii="Verdana" w:hAnsi="Verdana"/>
          <w:sz w:val="20"/>
          <w:szCs w:val="20"/>
        </w:rPr>
        <w:t xml:space="preserve"> Assumir a responsabilidade pelos encargos fiscais, trabalhistas e comerciais resultantes da adjudicação deste objeto;</w:t>
      </w:r>
    </w:p>
    <w:p>
      <w:pPr>
        <w:pStyle w:val="PargrafodaLista"/>
        <w:tabs>
          <w:tab w:val="clear" w:pos="708"/>
          <w:tab w:val="left" w:pos="518" w:leader="none"/>
        </w:tabs>
        <w:spacing w:lineRule="auto" w:line="240"/>
        <w:ind w:left="0" w:right="0"/>
        <w:jc w:val="both"/>
        <w:rPr>
          <w:rFonts w:ascii="Verdana" w:hAnsi="Verdana"/>
          <w:sz w:val="20"/>
          <w:szCs w:val="20"/>
        </w:rPr>
      </w:pPr>
      <w:r>
        <w:rPr>
          <w:rFonts w:cs="Verdana" w:ascii="Verdana" w:hAnsi="Verdana"/>
          <w:b/>
          <w:bCs/>
          <w:sz w:val="20"/>
          <w:szCs w:val="20"/>
        </w:rPr>
        <w:t>7</w:t>
      </w:r>
      <w:r>
        <w:rPr>
          <w:rFonts w:cs="Verdana" w:ascii="Verdana" w:hAnsi="Verdana"/>
          <w:b/>
          <w:bCs/>
          <w:sz w:val="20"/>
          <w:szCs w:val="20"/>
        </w:rPr>
        <w:t>.5</w:t>
      </w:r>
      <w:r>
        <w:rPr>
          <w:rFonts w:cs="Verdana" w:ascii="Verdana" w:hAnsi="Verdana"/>
          <w:sz w:val="20"/>
          <w:szCs w:val="20"/>
        </w:rPr>
        <w:t xml:space="preserve"> Manter as condições habilitatórias, em especial, no que se refere ao recolhimento dos impostos federais, estaduais e municipais, durante toda a vigência desta aquisição, as quais são de natureza </w:t>
      </w:r>
      <w:r>
        <w:rPr>
          <w:rFonts w:cs="Verdana" w:ascii="Verdana" w:hAnsi="Verdana"/>
          <w:b/>
          <w:i/>
          <w:iCs/>
          <w:sz w:val="20"/>
          <w:szCs w:val="20"/>
          <w:u w:val="single"/>
        </w:rPr>
        <w:t>sine qua non</w:t>
      </w:r>
      <w:r>
        <w:rPr>
          <w:rFonts w:cs="Verdana" w:ascii="Verdana" w:hAnsi="Verdana"/>
          <w:i/>
          <w:iCs/>
          <w:sz w:val="20"/>
          <w:szCs w:val="20"/>
        </w:rPr>
        <w:t xml:space="preserve"> </w:t>
      </w:r>
      <w:r>
        <w:rPr>
          <w:rFonts w:cs="Verdana" w:ascii="Verdana" w:hAnsi="Verdana"/>
          <w:sz w:val="20"/>
          <w:szCs w:val="20"/>
        </w:rPr>
        <w:t>para a emissão de pagamentos;</w:t>
      </w:r>
    </w:p>
    <w:p>
      <w:pPr>
        <w:pStyle w:val="PargrafodaLista"/>
        <w:tabs>
          <w:tab w:val="clear" w:pos="708"/>
          <w:tab w:val="left" w:pos="518" w:leader="none"/>
        </w:tabs>
        <w:spacing w:lineRule="auto" w:line="240"/>
        <w:ind w:left="0" w:right="0"/>
        <w:jc w:val="both"/>
        <w:rPr>
          <w:rFonts w:ascii="Verdana" w:hAnsi="Verdana"/>
          <w:sz w:val="20"/>
          <w:szCs w:val="20"/>
        </w:rPr>
      </w:pPr>
      <w:r>
        <w:rPr>
          <w:rFonts w:cs="Verdana" w:ascii="Verdana" w:hAnsi="Verdana"/>
          <w:b/>
          <w:bCs/>
          <w:sz w:val="20"/>
          <w:szCs w:val="20"/>
        </w:rPr>
        <w:t>7</w:t>
      </w:r>
      <w:r>
        <w:rPr>
          <w:rFonts w:cs="Verdana" w:ascii="Verdana" w:hAnsi="Verdana"/>
          <w:b/>
          <w:bCs/>
          <w:sz w:val="20"/>
          <w:szCs w:val="20"/>
        </w:rPr>
        <w:t xml:space="preserve">.6 </w:t>
      </w:r>
      <w:r>
        <w:rPr>
          <w:rFonts w:cs="Verdana" w:ascii="Verdana" w:hAnsi="Verdana"/>
          <w:sz w:val="20"/>
          <w:szCs w:val="20"/>
        </w:rPr>
        <w:t>Responsabilizar-se pela qualidade, quantidade e garantia dos medicamentos, conforme consta em suas descrições, reservando à requisitante o direito de recusá-los caso não satisfaça aos padrões especificados</w:t>
      </w:r>
      <w:r>
        <w:rPr>
          <w:rFonts w:cs="Verdana" w:ascii="Verdana" w:hAnsi="Verdana"/>
          <w:iCs/>
          <w:sz w:val="20"/>
          <w:szCs w:val="20"/>
        </w:rPr>
        <w:t>;</w:t>
      </w:r>
    </w:p>
    <w:p>
      <w:pPr>
        <w:pStyle w:val="PargrafodaLista"/>
        <w:tabs>
          <w:tab w:val="clear" w:pos="708"/>
          <w:tab w:val="left" w:pos="518" w:leader="none"/>
        </w:tabs>
        <w:spacing w:lineRule="auto" w:line="240"/>
        <w:ind w:left="0" w:right="0"/>
        <w:jc w:val="both"/>
        <w:rPr>
          <w:rFonts w:ascii="Verdana" w:hAnsi="Verdana"/>
          <w:sz w:val="20"/>
          <w:szCs w:val="20"/>
        </w:rPr>
      </w:pPr>
      <w:r>
        <w:rPr>
          <w:rFonts w:cs="Verdana" w:ascii="Verdana" w:hAnsi="Verdana"/>
          <w:b/>
          <w:bCs/>
          <w:sz w:val="20"/>
          <w:szCs w:val="20"/>
        </w:rPr>
        <w:t>7</w:t>
      </w:r>
      <w:r>
        <w:rPr>
          <w:rFonts w:cs="Verdana" w:ascii="Verdana" w:hAnsi="Verdana"/>
          <w:b/>
          <w:bCs/>
          <w:sz w:val="20"/>
          <w:szCs w:val="20"/>
        </w:rPr>
        <w:t xml:space="preserve">.7 </w:t>
      </w:r>
      <w:r>
        <w:rPr>
          <w:rFonts w:cs="Verdana" w:ascii="Verdana" w:hAnsi="Verdana"/>
          <w:sz w:val="20"/>
          <w:szCs w:val="20"/>
        </w:rPr>
        <w:t>Atender no prazo de 24 horas as solicitações relativas a substituição reposição ou troca do fornecimento dos medicamentos que não atendam ao especificado ou ainda que apresentem defeito.</w:t>
      </w:r>
    </w:p>
    <w:p>
      <w:pPr>
        <w:pStyle w:val="PargrafodaLista"/>
        <w:tabs>
          <w:tab w:val="clear" w:pos="708"/>
          <w:tab w:val="left" w:pos="518" w:leader="none"/>
        </w:tabs>
        <w:spacing w:lineRule="auto" w:line="240"/>
        <w:ind w:left="0" w:right="0"/>
        <w:jc w:val="both"/>
        <w:rPr>
          <w:rFonts w:ascii="Verdana" w:hAnsi="Verdana"/>
          <w:sz w:val="20"/>
          <w:szCs w:val="20"/>
        </w:rPr>
      </w:pPr>
      <w:r>
        <w:rPr>
          <w:rFonts w:cs="Verdana" w:ascii="Verdana" w:hAnsi="Verdana"/>
          <w:b/>
          <w:bCs/>
          <w:sz w:val="20"/>
          <w:szCs w:val="20"/>
        </w:rPr>
        <w:t>7</w:t>
      </w:r>
      <w:r>
        <w:rPr>
          <w:rFonts w:cs="Verdana" w:ascii="Verdana" w:hAnsi="Verdana"/>
          <w:b/>
          <w:bCs/>
          <w:sz w:val="20"/>
          <w:szCs w:val="20"/>
        </w:rPr>
        <w:t>.8</w:t>
      </w:r>
      <w:r>
        <w:rPr>
          <w:rFonts w:cs="Verdana" w:ascii="Verdana" w:hAnsi="Verdana"/>
          <w:sz w:val="20"/>
          <w:szCs w:val="20"/>
        </w:rPr>
        <w:t xml:space="preserve"> </w:t>
      </w:r>
      <w:r>
        <w:rPr>
          <w:rFonts w:cs="Verdana" w:ascii="Verdana" w:hAnsi="Verdana"/>
          <w:bCs/>
          <w:sz w:val="20"/>
          <w:szCs w:val="20"/>
        </w:rPr>
        <w:t>Responsabilizar-se por eventuais ônus decorrentes de omissões ou erros na elaboração de estimativa de custos para o fornecimento do objeto deste Termo de Referência;</w:t>
      </w:r>
    </w:p>
    <w:p>
      <w:pPr>
        <w:pStyle w:val="PargrafodaLista"/>
        <w:tabs>
          <w:tab w:val="clear" w:pos="708"/>
          <w:tab w:val="left" w:pos="518" w:leader="none"/>
        </w:tabs>
        <w:spacing w:lineRule="auto" w:line="240" w:before="0" w:after="0"/>
        <w:ind w:left="0" w:right="0"/>
        <w:contextualSpacing/>
        <w:jc w:val="both"/>
        <w:rPr>
          <w:rFonts w:ascii="Verdana" w:hAnsi="Verdana"/>
          <w:sz w:val="20"/>
          <w:szCs w:val="20"/>
        </w:rPr>
      </w:pPr>
      <w:r>
        <w:rPr>
          <w:rFonts w:cs="Verdana" w:ascii="Verdana" w:hAnsi="Verdana"/>
          <w:b/>
          <w:bCs/>
          <w:sz w:val="20"/>
          <w:szCs w:val="20"/>
        </w:rPr>
        <w:t>7</w:t>
      </w:r>
      <w:r>
        <w:rPr>
          <w:rFonts w:cs="Verdana" w:ascii="Verdana" w:hAnsi="Verdana"/>
          <w:b/>
          <w:bCs/>
          <w:sz w:val="20"/>
          <w:szCs w:val="20"/>
        </w:rPr>
        <w:t xml:space="preserve">.9 </w:t>
      </w:r>
      <w:r>
        <w:rPr>
          <w:rFonts w:cs="Verdana" w:ascii="Verdana" w:hAnsi="Verdana"/>
          <w:bCs/>
          <w:sz w:val="20"/>
          <w:szCs w:val="20"/>
        </w:rPr>
        <w:t>Responder pelos danos causados diretamente à Administração Pública ou a terceiros, decorrentes de sua culpa ou dolo, durante o fornecimento do objeto;</w:t>
      </w:r>
    </w:p>
    <w:p>
      <w:pPr>
        <w:pStyle w:val="Normal"/>
        <w:spacing w:lineRule="auto" w:line="240"/>
        <w:jc w:val="both"/>
        <w:rPr>
          <w:rFonts w:ascii="Verdana" w:hAnsi="Verdana"/>
          <w:sz w:val="20"/>
          <w:szCs w:val="20"/>
        </w:rPr>
      </w:pPr>
      <w:r>
        <w:rPr>
          <w:rFonts w:cs="Verdana" w:ascii="Verdana" w:hAnsi="Verdana"/>
          <w:b/>
          <w:bCs/>
          <w:color w:val="000000"/>
          <w:sz w:val="20"/>
          <w:szCs w:val="20"/>
        </w:rPr>
        <w:t>7</w:t>
      </w:r>
      <w:r>
        <w:rPr>
          <w:rFonts w:cs="Verdana" w:ascii="Verdana" w:hAnsi="Verdana"/>
          <w:b/>
          <w:bCs/>
          <w:color w:val="000000"/>
          <w:sz w:val="20"/>
          <w:szCs w:val="20"/>
        </w:rPr>
        <w:t xml:space="preserve">.10 </w:t>
      </w:r>
      <w:r>
        <w:rPr>
          <w:rFonts w:cs="Verdana" w:ascii="Verdana" w:hAnsi="Verdana"/>
          <w:b w:val="false"/>
          <w:bCs w:val="false"/>
          <w:color w:val="000000"/>
          <w:sz w:val="20"/>
          <w:szCs w:val="20"/>
        </w:rPr>
        <w:t>Responder objetivamente por quaisquer danos pessoais ou materiais decorrentes do fornecimento do objeto, seja por vício de fabricação ou por ação ou omissão de seus empregados.</w:t>
      </w:r>
    </w:p>
    <w:p>
      <w:pPr>
        <w:pStyle w:val="Normal"/>
        <w:spacing w:lineRule="auto" w:line="240"/>
        <w:jc w:val="both"/>
        <w:rPr>
          <w:rFonts w:ascii="Verdana" w:hAnsi="Verdana" w:cs="Verdana"/>
          <w:b/>
          <w:sz w:val="20"/>
          <w:szCs w:val="20"/>
          <w:u w:val="single"/>
        </w:rPr>
      </w:pPr>
      <w:r>
        <w:rPr>
          <w:rFonts w:cs="Verdana" w:ascii="Verdana" w:hAnsi="Verdana"/>
          <w:b/>
          <w:sz w:val="20"/>
          <w:szCs w:val="20"/>
          <w:u w:val="single"/>
        </w:rPr>
      </w:r>
    </w:p>
    <w:p>
      <w:pPr>
        <w:pStyle w:val="Normal"/>
        <w:spacing w:lineRule="auto" w:line="240"/>
        <w:jc w:val="both"/>
        <w:rPr>
          <w:rFonts w:ascii="Verdana" w:hAnsi="Verdana"/>
          <w:sz w:val="20"/>
          <w:szCs w:val="20"/>
        </w:rPr>
      </w:pPr>
      <w:r>
        <w:rPr>
          <w:rFonts w:cs="Verdana" w:ascii="Verdana" w:hAnsi="Verdana"/>
          <w:b/>
          <w:sz w:val="20"/>
          <w:szCs w:val="20"/>
          <w:u w:val="single"/>
        </w:rPr>
        <w:t>CLÁUSULA OITAVA – OBRIGAÇÕES DA CONTRATANTE</w:t>
      </w:r>
    </w:p>
    <w:p>
      <w:pPr>
        <w:pStyle w:val="Normal"/>
        <w:spacing w:lineRule="auto" w:line="240"/>
        <w:jc w:val="both"/>
        <w:rPr>
          <w:rFonts w:ascii="Verdana" w:hAnsi="Verdana"/>
          <w:sz w:val="20"/>
          <w:szCs w:val="20"/>
        </w:rPr>
      </w:pPr>
      <w:r>
        <w:rPr>
          <w:rFonts w:cs="Verdana" w:ascii="Verdana" w:hAnsi="Verdana"/>
          <w:b/>
          <w:sz w:val="20"/>
          <w:szCs w:val="20"/>
        </w:rPr>
        <w:t xml:space="preserve">8.1. </w:t>
      </w:r>
      <w:r>
        <w:rPr>
          <w:rFonts w:cs="Verdana" w:ascii="Verdana" w:hAnsi="Verdana"/>
          <w:b/>
          <w:color w:val="000000"/>
          <w:sz w:val="20"/>
          <w:szCs w:val="20"/>
        </w:rPr>
        <w:t>Além das obrigações que lhe são comuns e peculiares previstas nas leis 14.133/2021 cabe exclusivamente a CONTRATANTE:</w:t>
      </w:r>
    </w:p>
    <w:p>
      <w:pPr>
        <w:pStyle w:val="Normal"/>
        <w:numPr>
          <w:ilvl w:val="0"/>
          <w:numId w:val="0"/>
        </w:numPr>
        <w:tabs>
          <w:tab w:val="clear" w:pos="708"/>
          <w:tab w:val="left" w:pos="406" w:leader="none"/>
          <w:tab w:val="left" w:pos="709" w:leader="none"/>
        </w:tabs>
        <w:spacing w:lineRule="auto" w:line="240"/>
        <w:ind w:hanging="0" w:left="28" w:right="0"/>
        <w:jc w:val="both"/>
        <w:rPr>
          <w:rFonts w:ascii="Verdana" w:hAnsi="Verdana" w:cs="Verdana"/>
          <w:sz w:val="20"/>
          <w:szCs w:val="20"/>
        </w:rPr>
      </w:pPr>
      <w:r>
        <w:rPr>
          <w:rFonts w:cs="Verdana" w:ascii="Verdana" w:hAnsi="Verdana"/>
          <w:sz w:val="20"/>
          <w:szCs w:val="20"/>
        </w:rPr>
        <w:t xml:space="preserve">a) </w:t>
      </w:r>
      <w:r>
        <w:rPr>
          <w:rFonts w:cs="Verdana" w:ascii="Verdana" w:hAnsi="Verdana"/>
          <w:sz w:val="20"/>
          <w:szCs w:val="20"/>
        </w:rPr>
        <w:t>Acompanhar e coordenar a entrega dos medicamentos, ficando tal atribuição por conta do almoxarifado da Farmácia Básica do Município;</w:t>
      </w:r>
    </w:p>
    <w:p>
      <w:pPr>
        <w:pStyle w:val="Normal"/>
        <w:numPr>
          <w:ilvl w:val="0"/>
          <w:numId w:val="0"/>
        </w:numPr>
        <w:tabs>
          <w:tab w:val="clear" w:pos="708"/>
          <w:tab w:val="left" w:pos="0" w:leader="none"/>
          <w:tab w:val="left" w:pos="392" w:leader="none"/>
        </w:tabs>
        <w:spacing w:lineRule="auto" w:line="240"/>
        <w:ind w:hanging="0" w:left="0" w:right="0"/>
        <w:jc w:val="both"/>
        <w:rPr>
          <w:rFonts w:ascii="Verdana" w:hAnsi="Verdana" w:cs="Verdana"/>
          <w:sz w:val="20"/>
          <w:szCs w:val="20"/>
        </w:rPr>
      </w:pPr>
      <w:r>
        <w:rPr>
          <w:rFonts w:cs="Verdana" w:ascii="Verdana" w:hAnsi="Verdana"/>
          <w:sz w:val="20"/>
          <w:szCs w:val="20"/>
        </w:rPr>
        <w:t xml:space="preserve">b) </w:t>
      </w:r>
      <w:r>
        <w:rPr>
          <w:rFonts w:cs="Verdana" w:ascii="Verdana" w:hAnsi="Verdana"/>
          <w:sz w:val="20"/>
          <w:szCs w:val="20"/>
        </w:rPr>
        <w:t>Oferecer todas as informações necessárias para que a contratada possa fornecer o objeto ora pactuado dentro das especificações indicadas;</w:t>
      </w:r>
    </w:p>
    <w:p>
      <w:pPr>
        <w:pStyle w:val="Normal"/>
        <w:spacing w:lineRule="auto" w:line="240"/>
        <w:jc w:val="both"/>
        <w:rPr>
          <w:rFonts w:ascii="Verdana" w:hAnsi="Verdana" w:cs="Verdana"/>
          <w:b w:val="false"/>
          <w:bCs w:val="false"/>
          <w:sz w:val="20"/>
          <w:szCs w:val="20"/>
        </w:rPr>
      </w:pPr>
      <w:r>
        <w:rPr>
          <w:rFonts w:cs="Verdana" w:ascii="Verdana" w:hAnsi="Verdana"/>
          <w:b w:val="false"/>
          <w:bCs w:val="false"/>
          <w:color w:val="000000"/>
          <w:sz w:val="20"/>
          <w:szCs w:val="20"/>
        </w:rPr>
        <w:t xml:space="preserve">c) </w:t>
      </w:r>
      <w:r>
        <w:rPr>
          <w:rFonts w:cs="Verdana" w:ascii="Verdana" w:hAnsi="Verdana"/>
          <w:b w:val="false"/>
          <w:bCs w:val="false"/>
          <w:color w:val="000000"/>
          <w:sz w:val="20"/>
          <w:szCs w:val="20"/>
        </w:rPr>
        <w:t>Efetuar os pagamentos, nos termos deste contrato.</w:t>
      </w:r>
    </w:p>
    <w:p>
      <w:pPr>
        <w:pStyle w:val="Normal"/>
        <w:spacing w:lineRule="auto" w:line="240"/>
        <w:jc w:val="both"/>
        <w:rPr>
          <w:rFonts w:ascii="Verdana" w:hAnsi="Verdana" w:cs="Verdana"/>
          <w:b/>
          <w:sz w:val="20"/>
          <w:szCs w:val="20"/>
          <w:u w:val="single"/>
        </w:rPr>
      </w:pPr>
      <w:r>
        <w:rPr>
          <w:rFonts w:cs="Verdana" w:ascii="Verdana" w:hAnsi="Verdana"/>
          <w:b/>
          <w:sz w:val="20"/>
          <w:szCs w:val="20"/>
          <w:u w:val="single"/>
        </w:rPr>
      </w:r>
    </w:p>
    <w:p>
      <w:pPr>
        <w:pStyle w:val="Normal"/>
        <w:spacing w:lineRule="auto" w:line="240"/>
        <w:jc w:val="both"/>
        <w:rPr>
          <w:rFonts w:ascii="Verdana" w:hAnsi="Verdana"/>
          <w:sz w:val="20"/>
          <w:szCs w:val="20"/>
        </w:rPr>
      </w:pPr>
      <w:r>
        <w:rPr>
          <w:rFonts w:cs="Verdana" w:ascii="Verdana" w:hAnsi="Verdana"/>
          <w:b/>
          <w:sz w:val="20"/>
          <w:szCs w:val="20"/>
          <w:u w:val="single"/>
        </w:rPr>
        <w:t>CLÁUSULA NONA – DA FISCALIZAÇÃO</w:t>
      </w:r>
    </w:p>
    <w:p>
      <w:pPr>
        <w:pStyle w:val="Normal"/>
        <w:spacing w:lineRule="auto" w:line="240"/>
        <w:jc w:val="both"/>
        <w:rPr>
          <w:rFonts w:ascii="Verdana" w:hAnsi="Verdana"/>
          <w:sz w:val="20"/>
          <w:szCs w:val="20"/>
        </w:rPr>
      </w:pPr>
      <w:r>
        <w:rPr>
          <w:rFonts w:cs="Arial" w:ascii="Verdana" w:hAnsi="Verdana"/>
          <w:b/>
          <w:bCs/>
          <w:color w:val="000000"/>
          <w:sz w:val="20"/>
          <w:szCs w:val="20"/>
        </w:rPr>
        <w:t>9.1</w:t>
      </w:r>
      <w:r>
        <w:rPr>
          <w:rFonts w:cs="Arial" w:ascii="Verdana" w:hAnsi="Verdana"/>
          <w:color w:val="000000"/>
          <w:sz w:val="20"/>
          <w:szCs w:val="20"/>
        </w:rPr>
        <w:t>.</w:t>
      </w:r>
      <w:r>
        <w:rPr>
          <w:rFonts w:cs="Arial" w:ascii="Verdana" w:hAnsi="Verdana"/>
          <w:b/>
          <w:bCs/>
          <w:color w:val="000000"/>
          <w:sz w:val="20"/>
          <w:szCs w:val="20"/>
        </w:rPr>
        <w:t xml:space="preserve"> </w:t>
      </w:r>
      <w:r>
        <w:rPr>
          <w:rFonts w:cs="Arial" w:ascii="Verdana" w:hAnsi="Verdana"/>
          <w:color w:val="000000"/>
          <w:sz w:val="20"/>
          <w:szCs w:val="20"/>
        </w:rPr>
        <w:t>Será designado representante para acompanhar e fiscalizar a execução dos serviços, anotando em registro próprio todas as ocorrências relacionadas com a execução e determinando o que for necessário à regularização de falhas ou defeitos observados.</w:t>
      </w:r>
    </w:p>
    <w:p>
      <w:pPr>
        <w:pStyle w:val="Normal"/>
        <w:spacing w:lineRule="auto" w:line="240"/>
        <w:jc w:val="both"/>
        <w:rPr>
          <w:rFonts w:ascii="Verdana" w:hAnsi="Verdana"/>
          <w:sz w:val="20"/>
          <w:szCs w:val="20"/>
        </w:rPr>
      </w:pPr>
      <w:r>
        <w:rPr>
          <w:rFonts w:ascii="Verdana" w:hAnsi="Verdana"/>
          <w:b/>
          <w:bCs/>
          <w:sz w:val="20"/>
          <w:szCs w:val="20"/>
        </w:rPr>
        <w:t>9.2</w:t>
      </w:r>
      <w:r>
        <w:rPr>
          <w:rFonts w:ascii="Verdana" w:hAnsi="Verdana"/>
          <w:sz w:val="20"/>
          <w:szCs w:val="20"/>
        </w:rPr>
        <w:t>. A fiscalização de que trata este item não exclui nem reduz a responsabilidade da Contratada, inclusive perante terceiros, por qualquer irregularidade, ainda que resultante de imperfeições técnicas ou vícios redibitórios, e na ocorrência desta, não implica em responsabilidade da Administração ou de seus agentes e prepostos.</w:t>
      </w:r>
    </w:p>
    <w:p>
      <w:pPr>
        <w:pStyle w:val="Normal"/>
        <w:spacing w:lineRule="auto" w:line="240"/>
        <w:jc w:val="both"/>
        <w:rPr>
          <w:rFonts w:ascii="Verdana" w:hAnsi="Verdana"/>
          <w:sz w:val="20"/>
          <w:szCs w:val="20"/>
        </w:rPr>
      </w:pPr>
      <w:r>
        <w:rPr>
          <w:rFonts w:cs="Arial" w:ascii="Verdana" w:hAnsi="Verdana"/>
          <w:b/>
          <w:bCs/>
          <w:color w:val="000000"/>
          <w:sz w:val="20"/>
          <w:szCs w:val="20"/>
        </w:rPr>
        <w:t>9.3</w:t>
      </w:r>
      <w:r>
        <w:rPr>
          <w:rFonts w:cs="Arial" w:ascii="Verdana" w:hAnsi="Verdana"/>
          <w:color w:val="000000"/>
          <w:sz w:val="20"/>
          <w:szCs w:val="20"/>
        </w:rPr>
        <w:t xml:space="preserve">.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w:t>
      </w:r>
      <w:r>
        <w:rPr>
          <w:rFonts w:ascii="Verdana" w:hAnsi="Verdana"/>
          <w:sz w:val="20"/>
          <w:szCs w:val="20"/>
        </w:rPr>
        <w:t>defeitos observados e encaminhando os apontamentos à autoridade competente para as providências cabíveis.</w:t>
      </w:r>
    </w:p>
    <w:p>
      <w:pPr>
        <w:pStyle w:val="Normal"/>
        <w:spacing w:lineRule="auto" w:line="240"/>
        <w:jc w:val="both"/>
        <w:rPr>
          <w:rFonts w:ascii="Verdana" w:hAnsi="Verdana"/>
          <w:sz w:val="20"/>
          <w:szCs w:val="20"/>
        </w:rPr>
      </w:pPr>
      <w:r>
        <w:rPr>
          <w:rFonts w:ascii="Verdana" w:hAnsi="Verdana"/>
          <w:b/>
          <w:bCs/>
          <w:sz w:val="20"/>
          <w:szCs w:val="20"/>
        </w:rPr>
        <w:t>9.4</w:t>
      </w:r>
      <w:r>
        <w:rPr>
          <w:rFonts w:ascii="Verdana" w:hAnsi="Verdana"/>
          <w:sz w:val="20"/>
          <w:szCs w:val="20"/>
        </w:rPr>
        <w:t>. No caso de interrupção das entregas, por parte da contratada, o gestor do contrato tomará as providências cabíveis, de acordo com as cláusulas do edital e do contrato.</w:t>
      </w:r>
    </w:p>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jc w:val="both"/>
        <w:rPr>
          <w:rFonts w:ascii="Verdana" w:hAnsi="Verdana"/>
          <w:sz w:val="20"/>
          <w:szCs w:val="20"/>
        </w:rPr>
      </w:pPr>
      <w:r>
        <w:rPr>
          <w:rFonts w:cs="Verdana" w:ascii="Verdana" w:hAnsi="Verdana"/>
          <w:b/>
          <w:sz w:val="20"/>
          <w:szCs w:val="20"/>
          <w:u w:val="single"/>
        </w:rPr>
        <w:t>CLÁUSULA DÉCIMA – DAS PENALIDADES.</w:t>
      </w:r>
    </w:p>
    <w:p>
      <w:pPr>
        <w:pStyle w:val="Corpodetexto1"/>
        <w:overflowPunct w:val="true"/>
        <w:spacing w:lineRule="auto" w:line="240" w:before="0" w:after="0"/>
        <w:jc w:val="both"/>
        <w:textAlignment w:val="auto"/>
        <w:rPr>
          <w:rFonts w:ascii="Verdana" w:hAnsi="Verdana"/>
          <w:sz w:val="20"/>
          <w:szCs w:val="20"/>
        </w:rPr>
      </w:pPr>
      <w:r>
        <w:rPr>
          <w:rFonts w:cs="Verdana" w:ascii="Verdana" w:hAnsi="Verdana"/>
          <w:b/>
          <w:sz w:val="20"/>
          <w:szCs w:val="20"/>
        </w:rPr>
        <w:t xml:space="preserve">10.1 </w:t>
      </w:r>
      <w:r>
        <w:rPr>
          <w:rFonts w:eastAsia="Batang;바탕" w:cs="Verdana" w:ascii="Verdana" w:hAnsi="Verdana"/>
          <w:sz w:val="20"/>
          <w:szCs w:val="20"/>
        </w:rPr>
        <w:t>A CONTRATADA deverá observar rigorosamente as condições estabelecidas para o fornecimento do objeto contratado, sujeitando-se às penalidades constantes no artigo 156 da Lei 14.133/2021 e suas alterações;</w:t>
      </w:r>
    </w:p>
    <w:p>
      <w:pPr>
        <w:pStyle w:val="Normal"/>
        <w:spacing w:lineRule="auto" w:line="240"/>
        <w:jc w:val="both"/>
        <w:rPr>
          <w:rFonts w:ascii="Verdana" w:hAnsi="Verdana"/>
          <w:sz w:val="20"/>
          <w:szCs w:val="20"/>
        </w:rPr>
      </w:pPr>
      <w:r>
        <w:rPr>
          <w:rFonts w:cs="Verdana" w:ascii="Verdana" w:hAnsi="Verdana"/>
          <w:b/>
          <w:sz w:val="20"/>
          <w:szCs w:val="20"/>
        </w:rPr>
        <w:t xml:space="preserve">10.2 </w:t>
      </w:r>
      <w:r>
        <w:rPr>
          <w:rFonts w:cs="Verdana" w:ascii="Verdana" w:hAnsi="Verdana"/>
          <w:sz w:val="20"/>
          <w:szCs w:val="20"/>
        </w:rPr>
        <w:t xml:space="preserve">Pela inexecução total ou parcial do compromisso assumido, o Município de São Gabriel da Palha poderá aplicar à contratada, garantido o contraditório e ampla defesa, as sanções previstas na </w:t>
      </w:r>
      <w:r>
        <w:rPr>
          <w:rFonts w:eastAsia="Batang;바탕" w:cs="Verdana" w:ascii="Verdana" w:hAnsi="Verdana"/>
          <w:sz w:val="20"/>
          <w:szCs w:val="20"/>
        </w:rPr>
        <w:t>Lei 14.133/2021</w:t>
      </w:r>
      <w:r>
        <w:rPr>
          <w:rFonts w:cs="Verdana" w:ascii="Verdana" w:hAnsi="Verdana"/>
          <w:sz w:val="20"/>
          <w:szCs w:val="20"/>
        </w:rPr>
        <w:t>, bem como multas pecuniárias estabelecidas neste instrumento contratual.</w:t>
      </w:r>
    </w:p>
    <w:p>
      <w:pPr>
        <w:pStyle w:val="Normal"/>
        <w:tabs>
          <w:tab w:val="clear" w:pos="708"/>
          <w:tab w:val="center" w:pos="4419" w:leader="none"/>
          <w:tab w:val="right" w:pos="8838" w:leader="none"/>
        </w:tabs>
        <w:overflowPunct w:val="true"/>
        <w:spacing w:lineRule="auto" w:line="240"/>
        <w:jc w:val="both"/>
        <w:textAlignment w:val="auto"/>
        <w:rPr>
          <w:rFonts w:ascii="Verdana" w:hAnsi="Verdana"/>
          <w:sz w:val="20"/>
          <w:szCs w:val="20"/>
        </w:rPr>
      </w:pPr>
      <w:r>
        <w:rPr>
          <w:rFonts w:cs="Verdana" w:ascii="Verdana" w:hAnsi="Verdana"/>
          <w:b/>
          <w:sz w:val="20"/>
          <w:szCs w:val="20"/>
        </w:rPr>
        <w:t xml:space="preserve">10.3 </w:t>
      </w:r>
      <w:r>
        <w:rPr>
          <w:rFonts w:cs="Verdana" w:ascii="Verdana" w:hAnsi="Verdana"/>
          <w:sz w:val="20"/>
          <w:szCs w:val="20"/>
        </w:rPr>
        <w:t>Os casos de multa obedecerão aos seguintes parâmetros:</w:t>
      </w:r>
    </w:p>
    <w:p>
      <w:pPr>
        <w:pStyle w:val="Normal"/>
        <w:spacing w:lineRule="auto" w:line="240"/>
        <w:jc w:val="both"/>
        <w:rPr>
          <w:rFonts w:ascii="Verdana" w:hAnsi="Verdana"/>
          <w:sz w:val="20"/>
          <w:szCs w:val="20"/>
        </w:rPr>
      </w:pPr>
      <w:r>
        <w:rPr>
          <w:rFonts w:eastAsia="Batang;바탕" w:cs="Verdana" w:ascii="Verdana" w:hAnsi="Verdana"/>
          <w:b/>
          <w:bCs/>
          <w:sz w:val="20"/>
          <w:szCs w:val="20"/>
        </w:rPr>
        <w:t>a)</w:t>
      </w:r>
      <w:r>
        <w:rPr>
          <w:rFonts w:eastAsia="Batang;바탕" w:cs="Verdana" w:ascii="Verdana" w:hAnsi="Verdana"/>
          <w:sz w:val="20"/>
          <w:szCs w:val="20"/>
        </w:rPr>
        <w:t xml:space="preserve"> Para os efeitos do art.156 da Lei nº 14.133/2021, fica estabelecida a multa cominatória de até 10% (dez por cento) sob o valor global do contrato, a ser aplicada em caso de infringência de qualquer das cláusulas contratuais celebradas;</w:t>
      </w:r>
    </w:p>
    <w:p>
      <w:pPr>
        <w:pStyle w:val="Normal"/>
        <w:tabs>
          <w:tab w:val="clear" w:pos="708"/>
          <w:tab w:val="left" w:pos="993" w:leader="none"/>
          <w:tab w:val="left" w:pos="1418" w:leader="none"/>
        </w:tabs>
        <w:spacing w:lineRule="auto" w:line="240"/>
        <w:ind w:firstLine="10"/>
        <w:jc w:val="both"/>
        <w:rPr>
          <w:rFonts w:ascii="Verdana" w:hAnsi="Verdana"/>
          <w:sz w:val="20"/>
          <w:szCs w:val="20"/>
        </w:rPr>
      </w:pPr>
      <w:r>
        <w:rPr>
          <w:rFonts w:eastAsia="Batang;바탕" w:cs="Verdana" w:ascii="Verdana" w:hAnsi="Verdana"/>
          <w:b/>
          <w:sz w:val="20"/>
          <w:szCs w:val="20"/>
        </w:rPr>
        <w:t>b)</w:t>
      </w:r>
      <w:r>
        <w:rPr>
          <w:rFonts w:eastAsia="Batang;바탕" w:cs="Verdana" w:ascii="Verdana" w:hAnsi="Verdana"/>
          <w:sz w:val="20"/>
          <w:szCs w:val="20"/>
        </w:rPr>
        <w:t xml:space="preserve"> Caso a contratada não venha a cumprir o prazo de entrega pactuado será a ela aplicada a multa de 1% (um por cento) por dia de atraso, estabelecida sobre o valor total do contrato.</w:t>
      </w:r>
    </w:p>
    <w:p>
      <w:pPr>
        <w:pStyle w:val="Normal"/>
        <w:spacing w:lineRule="auto" w:line="240"/>
        <w:jc w:val="both"/>
        <w:rPr>
          <w:rFonts w:ascii="Verdana" w:hAnsi="Verdana"/>
          <w:sz w:val="20"/>
          <w:szCs w:val="20"/>
        </w:rPr>
      </w:pPr>
      <w:r>
        <w:rPr>
          <w:rFonts w:eastAsia="Batang;바탕" w:cs="Verdana" w:ascii="Verdana" w:hAnsi="Verdana"/>
          <w:b/>
          <w:bCs/>
          <w:sz w:val="20"/>
          <w:szCs w:val="20"/>
        </w:rPr>
        <w:t>c)</w:t>
      </w:r>
      <w:r>
        <w:rPr>
          <w:rFonts w:eastAsia="Batang;바탕" w:cs="Verdana" w:ascii="Verdana" w:hAnsi="Verdana"/>
          <w:sz w:val="20"/>
          <w:szCs w:val="20"/>
        </w:rPr>
        <w:t xml:space="preserve"> Pelo não fornecimento do objeto licitado após a assinatura do contrato, além de ser aplicada multa na forma estabelecida na alínea “a” desta cláusula a Administração Municipal poderá rescindir o contrato e convocar os licitantes remanescentes, na ordem de classificação na licitação, para fazer o fornecimento do objeto, desde que seus preços estejam dentro dos parâmetros de aceitação utilizados pelo Pregoeiro no decorrer do certame.</w:t>
      </w:r>
    </w:p>
    <w:p>
      <w:pPr>
        <w:pStyle w:val="Normal"/>
        <w:spacing w:lineRule="auto" w:line="240"/>
        <w:jc w:val="both"/>
        <w:rPr>
          <w:rFonts w:ascii="Verdana" w:hAnsi="Verdana"/>
          <w:sz w:val="20"/>
          <w:szCs w:val="20"/>
        </w:rPr>
      </w:pPr>
      <w:r>
        <w:rPr>
          <w:rFonts w:cs="Verdana" w:ascii="Verdana" w:hAnsi="Verdana"/>
          <w:b/>
          <w:sz w:val="20"/>
          <w:szCs w:val="20"/>
        </w:rPr>
        <w:t>d)</w:t>
      </w:r>
      <w:r>
        <w:rPr>
          <w:rFonts w:cs="Verdana" w:ascii="Verdana" w:hAnsi="Verdana"/>
          <w:sz w:val="20"/>
          <w:szCs w:val="20"/>
        </w:rPr>
        <w:t xml:space="preserve"> A multa deverá ser recolhida no prazo máximo de 05 (cinco) dias úteis, a contar da data do recebimento da comunicação enviada pelo CONTRATANTE.</w:t>
      </w:r>
    </w:p>
    <w:p>
      <w:pPr>
        <w:pStyle w:val="Normal"/>
        <w:spacing w:lineRule="auto" w:line="240"/>
        <w:jc w:val="both"/>
        <w:rPr>
          <w:rFonts w:ascii="Verdana" w:hAnsi="Verdana"/>
          <w:sz w:val="20"/>
          <w:szCs w:val="20"/>
        </w:rPr>
      </w:pPr>
      <w:r>
        <w:rPr>
          <w:rFonts w:cs="Verdana" w:ascii="Verdana" w:hAnsi="Verdana"/>
          <w:b/>
          <w:sz w:val="20"/>
          <w:szCs w:val="20"/>
        </w:rPr>
        <w:t>e)</w:t>
      </w:r>
      <w:r>
        <w:rPr>
          <w:rFonts w:cs="Verdana" w:ascii="Verdana" w:hAnsi="Verdana"/>
          <w:sz w:val="20"/>
          <w:szCs w:val="20"/>
        </w:rPr>
        <w:t xml:space="preserve"> O valor da multa poderá ser descontado do crédito existente em favor da contratada. </w:t>
      </w:r>
    </w:p>
    <w:p>
      <w:pPr>
        <w:pStyle w:val="Normal"/>
        <w:overflowPunct w:val="true"/>
        <w:spacing w:lineRule="auto" w:line="240"/>
        <w:jc w:val="both"/>
        <w:textAlignment w:val="auto"/>
        <w:rPr>
          <w:rFonts w:ascii="Verdana" w:hAnsi="Verdana"/>
          <w:sz w:val="20"/>
          <w:szCs w:val="20"/>
        </w:rPr>
      </w:pPr>
      <w:r>
        <w:rPr>
          <w:rFonts w:cs="Verdana" w:ascii="Verdana" w:hAnsi="Verdana"/>
          <w:b/>
          <w:sz w:val="20"/>
          <w:szCs w:val="20"/>
        </w:rPr>
        <w:t>f)</w:t>
      </w:r>
      <w:r>
        <w:rPr>
          <w:rFonts w:cs="Verdana" w:ascii="Verdana" w:hAnsi="Verdana"/>
          <w:sz w:val="20"/>
          <w:szCs w:val="20"/>
        </w:rPr>
        <w:t xml:space="preserve"> As multas e outras sanções aplicadas só poderão ser relevadas motivadamente e por conveniência administrativa.</w:t>
      </w:r>
    </w:p>
    <w:p>
      <w:pPr>
        <w:pStyle w:val="Normal"/>
        <w:overflowPunct w:val="true"/>
        <w:spacing w:lineRule="auto" w:line="240"/>
        <w:jc w:val="both"/>
        <w:textAlignment w:val="auto"/>
        <w:rPr>
          <w:rFonts w:ascii="Verdana" w:hAnsi="Verdana"/>
          <w:sz w:val="20"/>
          <w:szCs w:val="20"/>
        </w:rPr>
      </w:pPr>
      <w:r>
        <w:rPr>
          <w:rFonts w:cs="Verdana" w:ascii="Verdana" w:hAnsi="Verdana"/>
          <w:b/>
          <w:sz w:val="20"/>
          <w:szCs w:val="20"/>
        </w:rPr>
        <w:t>g)</w:t>
      </w:r>
      <w:r>
        <w:rPr>
          <w:rFonts w:cs="Verdana" w:ascii="Verdana" w:hAnsi="Verdana"/>
          <w:sz w:val="20"/>
          <w:szCs w:val="20"/>
        </w:rPr>
        <w:t xml:space="preserve"> Em qualquer hipótese de aplicação de sanções será assegurado a CONTRATADA o contraditório e ampla defesa.</w:t>
      </w:r>
    </w:p>
    <w:p>
      <w:pPr>
        <w:pStyle w:val="Normal"/>
        <w:overflowPunct w:val="true"/>
        <w:spacing w:lineRule="auto" w:line="240"/>
        <w:jc w:val="both"/>
        <w:textAlignment w:val="auto"/>
        <w:rPr>
          <w:rFonts w:ascii="Verdana" w:hAnsi="Verdana"/>
          <w:sz w:val="20"/>
          <w:szCs w:val="20"/>
        </w:rPr>
      </w:pPr>
      <w:r>
        <w:rPr>
          <w:rFonts w:ascii="Verdana" w:hAnsi="Verdana"/>
          <w:sz w:val="20"/>
          <w:szCs w:val="20"/>
        </w:rPr>
      </w:r>
    </w:p>
    <w:p>
      <w:pPr>
        <w:pStyle w:val="Normal"/>
        <w:spacing w:lineRule="auto" w:line="240"/>
        <w:jc w:val="both"/>
        <w:rPr>
          <w:rFonts w:ascii="Verdana" w:hAnsi="Verdana"/>
          <w:sz w:val="20"/>
          <w:szCs w:val="20"/>
        </w:rPr>
      </w:pPr>
      <w:r>
        <w:rPr>
          <w:rFonts w:cs="Verdana" w:ascii="Verdana" w:hAnsi="Verdana"/>
          <w:b/>
          <w:sz w:val="20"/>
          <w:szCs w:val="20"/>
          <w:u w:val="single"/>
        </w:rPr>
        <w:t>CLÁUSULA DÉCIMA PRIMEIRA – RESCISÃO DO CONTRATO</w:t>
      </w:r>
    </w:p>
    <w:p>
      <w:pPr>
        <w:pStyle w:val="Normal"/>
        <w:spacing w:lineRule="auto" w:line="240"/>
        <w:jc w:val="both"/>
        <w:rPr>
          <w:rFonts w:ascii="Verdana" w:hAnsi="Verdana"/>
          <w:sz w:val="20"/>
          <w:szCs w:val="20"/>
        </w:rPr>
      </w:pPr>
      <w:r>
        <w:rPr>
          <w:rFonts w:cs="Verdana" w:ascii="Verdana" w:hAnsi="Verdana"/>
          <w:b/>
          <w:sz w:val="20"/>
          <w:szCs w:val="20"/>
        </w:rPr>
        <w:t xml:space="preserve">11.1 </w:t>
      </w:r>
      <w:r>
        <w:rPr>
          <w:rFonts w:cs="Verdana" w:ascii="Verdana" w:hAnsi="Verdana"/>
          <w:sz w:val="20"/>
          <w:szCs w:val="20"/>
        </w:rPr>
        <w:t xml:space="preserve">A inexecução total ou parcial do contrato enseja a sua rescisão, com as consequências contratuais e as previstas em lei, bem como a aplicação das multas e outras penalidades previstas neste instrumento e na </w:t>
      </w:r>
      <w:r>
        <w:rPr>
          <w:rFonts w:eastAsia="Batang;바탕" w:cs="Verdana" w:ascii="Verdana" w:hAnsi="Verdana"/>
          <w:sz w:val="20"/>
          <w:szCs w:val="20"/>
        </w:rPr>
        <w:t>Lei 14.133/2021.</w:t>
      </w:r>
    </w:p>
    <w:p>
      <w:pPr>
        <w:pStyle w:val="Normal"/>
        <w:spacing w:lineRule="auto" w:line="240"/>
        <w:jc w:val="both"/>
        <w:rPr>
          <w:rFonts w:ascii="Verdana" w:hAnsi="Verdana"/>
          <w:sz w:val="20"/>
          <w:szCs w:val="20"/>
        </w:rPr>
      </w:pPr>
      <w:r>
        <w:rPr>
          <w:rFonts w:cs="Verdana" w:ascii="Verdana" w:hAnsi="Verdana"/>
          <w:b/>
          <w:sz w:val="20"/>
          <w:szCs w:val="20"/>
        </w:rPr>
        <w:t>11.1.1</w:t>
      </w:r>
      <w:r>
        <w:rPr>
          <w:rFonts w:cs="Verdana" w:ascii="Verdana" w:hAnsi="Verdana"/>
          <w:sz w:val="20"/>
          <w:szCs w:val="20"/>
        </w:rPr>
        <w:t xml:space="preserve"> </w:t>
      </w:r>
      <w:r>
        <w:rPr>
          <w:rFonts w:cs="Verdana" w:ascii="Verdana" w:hAnsi="Verdana"/>
          <w:b/>
          <w:sz w:val="20"/>
          <w:szCs w:val="20"/>
          <w:u w:val="single"/>
        </w:rPr>
        <w:t>Constitui motivos para rescisão deste contrato:</w:t>
      </w:r>
    </w:p>
    <w:p>
      <w:pPr>
        <w:pStyle w:val="Normal"/>
        <w:numPr>
          <w:ilvl w:val="0"/>
          <w:numId w:val="6"/>
        </w:numPr>
        <w:tabs>
          <w:tab w:val="clear" w:pos="708"/>
          <w:tab w:val="left" w:pos="1020" w:leader="none"/>
        </w:tabs>
        <w:overflowPunct w:val="true"/>
        <w:spacing w:lineRule="auto" w:line="240"/>
        <w:ind w:firstLine="567" w:left="0"/>
        <w:jc w:val="both"/>
        <w:textAlignment w:val="auto"/>
        <w:rPr>
          <w:rFonts w:ascii="Verdana" w:hAnsi="Verdana"/>
          <w:sz w:val="20"/>
          <w:szCs w:val="20"/>
        </w:rPr>
      </w:pPr>
      <w:r>
        <w:rPr>
          <w:rFonts w:cs="Verdana" w:ascii="Verdana" w:hAnsi="Verdana"/>
          <w:sz w:val="20"/>
          <w:szCs w:val="20"/>
        </w:rPr>
        <w:t>O não cumprimento de cláusulas contratuais, especificações ou prazos;</w:t>
      </w:r>
    </w:p>
    <w:p>
      <w:pPr>
        <w:pStyle w:val="Normal"/>
        <w:numPr>
          <w:ilvl w:val="0"/>
          <w:numId w:val="6"/>
        </w:numPr>
        <w:tabs>
          <w:tab w:val="clear" w:pos="708"/>
          <w:tab w:val="left" w:pos="1020" w:leader="none"/>
        </w:tabs>
        <w:overflowPunct w:val="true"/>
        <w:spacing w:lineRule="auto" w:line="240"/>
        <w:ind w:firstLine="567" w:left="0"/>
        <w:jc w:val="both"/>
        <w:textAlignment w:val="auto"/>
        <w:rPr>
          <w:rFonts w:ascii="Verdana" w:hAnsi="Verdana"/>
          <w:sz w:val="20"/>
          <w:szCs w:val="20"/>
        </w:rPr>
      </w:pPr>
      <w:r>
        <w:rPr>
          <w:rFonts w:cs="Verdana" w:ascii="Verdana" w:hAnsi="Verdana"/>
          <w:sz w:val="20"/>
          <w:szCs w:val="20"/>
        </w:rPr>
        <w:t>O cumprimento irregular de cláusulas contratuais, especificações ou prazos;</w:t>
      </w:r>
    </w:p>
    <w:p>
      <w:pPr>
        <w:pStyle w:val="Normal"/>
        <w:numPr>
          <w:ilvl w:val="0"/>
          <w:numId w:val="6"/>
        </w:numPr>
        <w:tabs>
          <w:tab w:val="clear" w:pos="708"/>
          <w:tab w:val="left" w:pos="1020" w:leader="none"/>
        </w:tabs>
        <w:overflowPunct w:val="true"/>
        <w:spacing w:lineRule="auto" w:line="240"/>
        <w:ind w:firstLine="567" w:left="0"/>
        <w:jc w:val="both"/>
        <w:textAlignment w:val="auto"/>
        <w:rPr>
          <w:rFonts w:ascii="Verdana" w:hAnsi="Verdana"/>
          <w:sz w:val="20"/>
          <w:szCs w:val="20"/>
        </w:rPr>
      </w:pPr>
      <w:r>
        <w:rPr>
          <w:rFonts w:cs="Verdana" w:ascii="Verdana" w:hAnsi="Verdana"/>
          <w:sz w:val="20"/>
          <w:szCs w:val="20"/>
        </w:rPr>
        <w:t>A subcontratação do seu objeto, sem a devida autorização do CONTRATANTE;</w:t>
      </w:r>
    </w:p>
    <w:p>
      <w:pPr>
        <w:pStyle w:val="Normal"/>
        <w:numPr>
          <w:ilvl w:val="0"/>
          <w:numId w:val="6"/>
        </w:numPr>
        <w:tabs>
          <w:tab w:val="clear" w:pos="708"/>
          <w:tab w:val="left" w:pos="1020" w:leader="none"/>
        </w:tabs>
        <w:overflowPunct w:val="true"/>
        <w:spacing w:lineRule="auto" w:line="240"/>
        <w:ind w:firstLine="567" w:left="0"/>
        <w:jc w:val="both"/>
        <w:textAlignment w:val="auto"/>
        <w:rPr>
          <w:rFonts w:ascii="Verdana" w:hAnsi="Verdana"/>
          <w:sz w:val="20"/>
          <w:szCs w:val="20"/>
        </w:rPr>
      </w:pPr>
      <w:r>
        <w:rPr>
          <w:rFonts w:cs="Verdana" w:ascii="Verdana" w:hAnsi="Verdana"/>
          <w:sz w:val="20"/>
          <w:szCs w:val="20"/>
        </w:rPr>
        <w:t>A decretação de falência ou instauração de insolvência civil;</w:t>
      </w:r>
    </w:p>
    <w:p>
      <w:pPr>
        <w:pStyle w:val="Normal"/>
        <w:numPr>
          <w:ilvl w:val="0"/>
          <w:numId w:val="6"/>
        </w:numPr>
        <w:tabs>
          <w:tab w:val="clear" w:pos="708"/>
          <w:tab w:val="left" w:pos="1020" w:leader="none"/>
        </w:tabs>
        <w:overflowPunct w:val="true"/>
        <w:spacing w:lineRule="auto" w:line="240"/>
        <w:ind w:firstLine="567" w:left="0"/>
        <w:jc w:val="both"/>
        <w:textAlignment w:val="auto"/>
        <w:rPr>
          <w:rFonts w:ascii="Verdana" w:hAnsi="Verdana"/>
          <w:sz w:val="20"/>
          <w:szCs w:val="20"/>
        </w:rPr>
      </w:pPr>
      <w:r>
        <w:rPr>
          <w:rFonts w:cs="Verdana" w:ascii="Verdana" w:hAnsi="Verdana"/>
          <w:sz w:val="20"/>
          <w:szCs w:val="20"/>
        </w:rPr>
        <w:t>A dissolução da sociedade;</w:t>
      </w:r>
    </w:p>
    <w:p>
      <w:pPr>
        <w:pStyle w:val="Normal"/>
        <w:numPr>
          <w:ilvl w:val="0"/>
          <w:numId w:val="6"/>
        </w:numPr>
        <w:tabs>
          <w:tab w:val="clear" w:pos="708"/>
          <w:tab w:val="left" w:pos="1020" w:leader="none"/>
        </w:tabs>
        <w:overflowPunct w:val="true"/>
        <w:spacing w:lineRule="auto" w:line="240"/>
        <w:ind w:firstLine="567" w:left="0"/>
        <w:jc w:val="both"/>
        <w:textAlignment w:val="auto"/>
        <w:rPr>
          <w:rFonts w:ascii="Verdana" w:hAnsi="Verdana"/>
          <w:sz w:val="20"/>
          <w:szCs w:val="20"/>
        </w:rPr>
      </w:pPr>
      <w:r>
        <w:rPr>
          <w:rFonts w:cs="Verdana" w:ascii="Verdana" w:hAnsi="Verdana"/>
          <w:sz w:val="20"/>
          <w:szCs w:val="20"/>
        </w:rPr>
        <w:t>A alteração social ou modificação da finalidade ou da estrutura da empresa que, a juízo da CONTRATANTE, prejudique a execução do contrato;</w:t>
      </w:r>
    </w:p>
    <w:p>
      <w:pPr>
        <w:pStyle w:val="Normal"/>
        <w:numPr>
          <w:ilvl w:val="0"/>
          <w:numId w:val="6"/>
        </w:numPr>
        <w:tabs>
          <w:tab w:val="clear" w:pos="708"/>
          <w:tab w:val="left" w:pos="1020" w:leader="none"/>
        </w:tabs>
        <w:overflowPunct w:val="true"/>
        <w:spacing w:lineRule="auto" w:line="240"/>
        <w:ind w:firstLine="567" w:left="0"/>
        <w:jc w:val="both"/>
        <w:textAlignment w:val="auto"/>
        <w:rPr>
          <w:rFonts w:ascii="Verdana" w:hAnsi="Verdana"/>
          <w:sz w:val="20"/>
          <w:szCs w:val="20"/>
        </w:rPr>
      </w:pPr>
      <w:r>
        <w:rPr>
          <w:rFonts w:cs="Verdana" w:ascii="Verdana" w:hAnsi="Verdana"/>
          <w:sz w:val="20"/>
          <w:szCs w:val="20"/>
        </w:rPr>
        <w:t>Razões de interesse público de alta relevância e amplo conhecimento, justificado e determinada pela máxima autoridade da esfera administrativa a que está subordinada o CONTRATANTE e exaradas no processo administrativo que se refere o contrato;</w:t>
      </w:r>
    </w:p>
    <w:p>
      <w:pPr>
        <w:pStyle w:val="Normal"/>
        <w:numPr>
          <w:ilvl w:val="0"/>
          <w:numId w:val="6"/>
        </w:numPr>
        <w:tabs>
          <w:tab w:val="clear" w:pos="708"/>
          <w:tab w:val="left" w:pos="1020" w:leader="none"/>
        </w:tabs>
        <w:overflowPunct w:val="true"/>
        <w:spacing w:lineRule="auto" w:line="240"/>
        <w:ind w:firstLine="567" w:left="0"/>
        <w:jc w:val="both"/>
        <w:textAlignment w:val="auto"/>
        <w:rPr>
          <w:rFonts w:ascii="Verdana" w:hAnsi="Verdana"/>
          <w:sz w:val="20"/>
          <w:szCs w:val="20"/>
        </w:rPr>
      </w:pPr>
      <w:r>
        <w:rPr>
          <w:rFonts w:cs="Verdana" w:ascii="Verdana" w:hAnsi="Verdana"/>
          <w:sz w:val="20"/>
          <w:szCs w:val="20"/>
        </w:rPr>
        <w:t>A ocorrência de caso fortuito ou de força maior, regularmente comprovada, impeditiva da execução do contrato;</w:t>
      </w:r>
    </w:p>
    <w:p>
      <w:pPr>
        <w:pStyle w:val="Normal"/>
        <w:numPr>
          <w:ilvl w:val="0"/>
          <w:numId w:val="6"/>
        </w:numPr>
        <w:tabs>
          <w:tab w:val="clear" w:pos="708"/>
          <w:tab w:val="left" w:pos="1020" w:leader="none"/>
        </w:tabs>
        <w:overflowPunct w:val="true"/>
        <w:spacing w:lineRule="auto" w:line="240"/>
        <w:ind w:firstLine="567" w:left="0"/>
        <w:jc w:val="both"/>
        <w:textAlignment w:val="auto"/>
        <w:rPr>
          <w:rFonts w:ascii="Verdana" w:hAnsi="Verdana"/>
          <w:sz w:val="20"/>
          <w:szCs w:val="20"/>
        </w:rPr>
      </w:pPr>
      <w:r>
        <w:rPr>
          <w:rFonts w:cs="Verdana" w:ascii="Verdana" w:hAnsi="Verdana"/>
          <w:sz w:val="20"/>
          <w:szCs w:val="20"/>
        </w:rPr>
        <w:t>A decisão da autoridade competente, relativa à rescisão do contrato, deverá ser precedida de justificativa fundamentada, assegurado o contraditório e a ampla defesa.</w:t>
      </w:r>
    </w:p>
    <w:p>
      <w:pPr>
        <w:pStyle w:val="Normal"/>
        <w:spacing w:lineRule="auto" w:line="240"/>
        <w:jc w:val="both"/>
        <w:rPr>
          <w:rFonts w:ascii="Verdana" w:hAnsi="Verdana"/>
          <w:sz w:val="20"/>
          <w:szCs w:val="20"/>
        </w:rPr>
      </w:pPr>
      <w:r>
        <w:rPr>
          <w:rFonts w:cs="Verdana" w:ascii="Verdana" w:hAnsi="Verdana"/>
          <w:b/>
          <w:sz w:val="20"/>
          <w:szCs w:val="20"/>
        </w:rPr>
        <w:t xml:space="preserve">11.1.2 </w:t>
      </w:r>
      <w:r>
        <w:rPr>
          <w:rFonts w:cs="Verdana" w:ascii="Verdana" w:hAnsi="Verdana"/>
          <w:sz w:val="20"/>
          <w:szCs w:val="20"/>
        </w:rPr>
        <w:t>A rescisão do contrato poderá ser:</w:t>
      </w:r>
    </w:p>
    <w:p>
      <w:pPr>
        <w:pStyle w:val="Normal"/>
        <w:numPr>
          <w:ilvl w:val="0"/>
          <w:numId w:val="3"/>
        </w:numPr>
        <w:tabs>
          <w:tab w:val="clear" w:pos="708"/>
          <w:tab w:val="left" w:pos="400" w:leader="none"/>
          <w:tab w:val="left" w:pos="1020" w:leader="none"/>
        </w:tabs>
        <w:overflowPunct w:val="true"/>
        <w:spacing w:lineRule="auto" w:line="240"/>
        <w:ind w:firstLine="567"/>
        <w:jc w:val="both"/>
        <w:textAlignment w:val="auto"/>
        <w:rPr>
          <w:rFonts w:ascii="Verdana" w:hAnsi="Verdana"/>
          <w:sz w:val="20"/>
          <w:szCs w:val="20"/>
        </w:rPr>
      </w:pPr>
      <w:r>
        <w:rPr>
          <w:rFonts w:cs="Verdana" w:ascii="Verdana" w:hAnsi="Verdana"/>
          <w:sz w:val="20"/>
          <w:szCs w:val="20"/>
        </w:rPr>
        <w:t>Determinada por ato unilateral e escrito do CONTRATANTE, nos casos específicos enumerados neste contrato, ou razões de interesse publico justificado;</w:t>
      </w:r>
    </w:p>
    <w:p>
      <w:pPr>
        <w:pStyle w:val="Normal"/>
        <w:numPr>
          <w:ilvl w:val="0"/>
          <w:numId w:val="3"/>
        </w:numPr>
        <w:tabs>
          <w:tab w:val="clear" w:pos="708"/>
          <w:tab w:val="left" w:pos="400" w:leader="none"/>
          <w:tab w:val="left" w:pos="1020" w:leader="none"/>
        </w:tabs>
        <w:overflowPunct w:val="true"/>
        <w:spacing w:lineRule="auto" w:line="240"/>
        <w:ind w:firstLine="567"/>
        <w:jc w:val="both"/>
        <w:textAlignment w:val="auto"/>
        <w:rPr>
          <w:rFonts w:ascii="Verdana" w:hAnsi="Verdana"/>
          <w:sz w:val="20"/>
          <w:szCs w:val="20"/>
        </w:rPr>
      </w:pPr>
      <w:r>
        <w:rPr>
          <w:rFonts w:cs="Verdana" w:ascii="Verdana" w:hAnsi="Verdana"/>
          <w:sz w:val="20"/>
          <w:szCs w:val="20"/>
        </w:rPr>
        <w:t>Amigável, por acordo entre as partes e reduzido a termo no processo, desde que haja conveniência para a Administração;</w:t>
      </w:r>
    </w:p>
    <w:p>
      <w:pPr>
        <w:pStyle w:val="Normal"/>
        <w:numPr>
          <w:ilvl w:val="0"/>
          <w:numId w:val="3"/>
        </w:numPr>
        <w:tabs>
          <w:tab w:val="clear" w:pos="708"/>
          <w:tab w:val="left" w:pos="400" w:leader="none"/>
          <w:tab w:val="left" w:pos="1020" w:leader="none"/>
        </w:tabs>
        <w:overflowPunct w:val="true"/>
        <w:spacing w:lineRule="auto" w:line="240"/>
        <w:ind w:firstLine="567"/>
        <w:jc w:val="both"/>
        <w:textAlignment w:val="auto"/>
        <w:rPr>
          <w:rFonts w:ascii="Verdana" w:hAnsi="Verdana"/>
          <w:sz w:val="20"/>
          <w:szCs w:val="20"/>
        </w:rPr>
      </w:pPr>
      <w:r>
        <w:rPr>
          <w:rFonts w:cs="Verdana" w:ascii="Verdana" w:hAnsi="Verdana"/>
          <w:sz w:val="20"/>
          <w:szCs w:val="20"/>
        </w:rPr>
        <w:t>Judicial, nos termos da legislação.</w:t>
      </w:r>
    </w:p>
    <w:p>
      <w:pPr>
        <w:pStyle w:val="Normal"/>
        <w:spacing w:lineRule="auto" w:line="240"/>
        <w:jc w:val="both"/>
        <w:rPr>
          <w:rFonts w:ascii="Verdana" w:hAnsi="Verdana"/>
          <w:sz w:val="20"/>
          <w:szCs w:val="20"/>
        </w:rPr>
      </w:pPr>
      <w:r>
        <w:rPr>
          <w:rFonts w:cs="Verdana" w:ascii="Verdana" w:hAnsi="Verdana"/>
          <w:b/>
          <w:sz w:val="20"/>
          <w:szCs w:val="20"/>
        </w:rPr>
        <w:t xml:space="preserve">11.2 </w:t>
      </w:r>
      <w:r>
        <w:rPr>
          <w:rFonts w:cs="Verdana" w:ascii="Verdana" w:hAnsi="Verdana"/>
          <w:sz w:val="20"/>
          <w:szCs w:val="20"/>
        </w:rPr>
        <w:t>A rescisão administrativa ou amigável deverá ser precedida de autorização escrita e fundamentada da CONTRATANTE.</w:t>
      </w:r>
    </w:p>
    <w:p>
      <w:pPr>
        <w:pStyle w:val="Normal"/>
        <w:spacing w:lineRule="auto" w:line="240"/>
        <w:jc w:val="both"/>
        <w:rPr>
          <w:rFonts w:ascii="Verdana" w:hAnsi="Verdana"/>
          <w:sz w:val="20"/>
          <w:szCs w:val="20"/>
        </w:rPr>
      </w:pPr>
      <w:r>
        <w:rPr>
          <w:rFonts w:cs="Verdana" w:ascii="Verdana" w:hAnsi="Verdana"/>
          <w:b/>
          <w:sz w:val="20"/>
          <w:szCs w:val="20"/>
        </w:rPr>
        <w:t xml:space="preserve">11.3 </w:t>
      </w:r>
      <w:r>
        <w:rPr>
          <w:rFonts w:cs="Verdana" w:ascii="Verdana" w:hAnsi="Verdana"/>
          <w:sz w:val="20"/>
          <w:szCs w:val="20"/>
        </w:rPr>
        <w:t>Em caso algum a CONTRATANTE pagará indenização à CONTRATADA por encargos resultantes da Legislação Trabalhista, Previdenciária, Fiscal e Comercial, ou outros, bem como aqueles resultantes de atos ilícitos praticados pela CONTRATADA e seus prepostos a terceiros.</w:t>
      </w:r>
    </w:p>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jc w:val="both"/>
        <w:rPr>
          <w:rFonts w:ascii="Verdana" w:hAnsi="Verdana"/>
          <w:sz w:val="20"/>
          <w:szCs w:val="20"/>
        </w:rPr>
      </w:pPr>
      <w:r>
        <w:rPr>
          <w:rFonts w:cs="Verdana" w:ascii="Verdana" w:hAnsi="Verdana"/>
          <w:b/>
          <w:sz w:val="20"/>
          <w:szCs w:val="20"/>
          <w:u w:val="single"/>
        </w:rPr>
        <w:t>CLÁUSULA DÉCIMA SEGUNDA – DA LEGISLAÇÃO APLICÁVEL</w:t>
      </w:r>
    </w:p>
    <w:p>
      <w:pPr>
        <w:pStyle w:val="Normal"/>
        <w:spacing w:lineRule="auto" w:line="240"/>
        <w:jc w:val="both"/>
        <w:rPr>
          <w:rFonts w:ascii="Verdana" w:hAnsi="Verdana"/>
          <w:sz w:val="20"/>
          <w:szCs w:val="20"/>
        </w:rPr>
      </w:pPr>
      <w:r>
        <w:rPr>
          <w:rFonts w:cs="Verdana" w:ascii="Verdana" w:hAnsi="Verdana"/>
          <w:b/>
          <w:sz w:val="20"/>
          <w:szCs w:val="20"/>
        </w:rPr>
        <w:t xml:space="preserve">12.1 </w:t>
      </w:r>
      <w:r>
        <w:rPr>
          <w:rFonts w:cs="Verdana" w:ascii="Verdana" w:hAnsi="Verdana"/>
          <w:sz w:val="20"/>
          <w:szCs w:val="20"/>
        </w:rPr>
        <w:t>Os casos omissos nesse Contrato serão resolvidos aplicando a Lei 14.133/2021 consolidada e demais legislações aplicáveis à espécie, no que couberem.</w:t>
      </w:r>
    </w:p>
    <w:p>
      <w:pPr>
        <w:pStyle w:val="Normal"/>
        <w:tabs>
          <w:tab w:val="clear" w:pos="708"/>
          <w:tab w:val="left" w:pos="-2268" w:leader="none"/>
        </w:tabs>
        <w:spacing w:lineRule="auto" w:line="240"/>
        <w:jc w:val="both"/>
        <w:rPr>
          <w:rFonts w:ascii="Verdana" w:hAnsi="Verdana" w:cs="Verdana"/>
          <w:b/>
          <w:sz w:val="20"/>
          <w:szCs w:val="20"/>
          <w:u w:val="single"/>
        </w:rPr>
      </w:pPr>
      <w:r>
        <w:rPr>
          <w:rFonts w:cs="Verdana" w:ascii="Verdana" w:hAnsi="Verdana"/>
          <w:b/>
          <w:sz w:val="20"/>
          <w:szCs w:val="20"/>
          <w:u w:val="single"/>
        </w:rPr>
      </w:r>
    </w:p>
    <w:p>
      <w:pPr>
        <w:pStyle w:val="Normal"/>
        <w:tabs>
          <w:tab w:val="clear" w:pos="708"/>
          <w:tab w:val="left" w:pos="-2268" w:leader="none"/>
        </w:tabs>
        <w:spacing w:lineRule="auto" w:line="240"/>
        <w:jc w:val="both"/>
        <w:rPr>
          <w:rFonts w:ascii="Verdana" w:hAnsi="Verdana"/>
          <w:sz w:val="20"/>
          <w:szCs w:val="20"/>
        </w:rPr>
      </w:pPr>
      <w:r>
        <w:rPr>
          <w:rFonts w:cs="Verdana" w:ascii="Verdana" w:hAnsi="Verdana"/>
          <w:b/>
          <w:sz w:val="20"/>
          <w:szCs w:val="20"/>
          <w:u w:val="single"/>
        </w:rPr>
        <w:t>CLÁUSULA DÉCIMA TERCEIRA – SUB CONTRATAÇÃO</w:t>
      </w:r>
    </w:p>
    <w:p>
      <w:pPr>
        <w:pStyle w:val="Normal"/>
        <w:tabs>
          <w:tab w:val="clear" w:pos="708"/>
          <w:tab w:val="left" w:pos="-2268" w:leader="none"/>
        </w:tabs>
        <w:spacing w:lineRule="auto" w:line="240"/>
        <w:jc w:val="both"/>
        <w:rPr>
          <w:rFonts w:ascii="Verdana" w:hAnsi="Verdana"/>
          <w:sz w:val="20"/>
          <w:szCs w:val="20"/>
        </w:rPr>
      </w:pPr>
      <w:r>
        <w:rPr>
          <w:rFonts w:cs="Verdana" w:ascii="Verdana" w:hAnsi="Verdana"/>
          <w:b/>
          <w:sz w:val="20"/>
          <w:szCs w:val="20"/>
        </w:rPr>
        <w:t xml:space="preserve">13.1 </w:t>
      </w:r>
      <w:r>
        <w:rPr>
          <w:rFonts w:cs="Verdana" w:ascii="Verdana" w:hAnsi="Verdana"/>
          <w:sz w:val="20"/>
          <w:szCs w:val="20"/>
        </w:rPr>
        <w:t>A subcontratação total ou parcial do objeto do presente contratado, a cessão ou transferência, total ou parcial, bem como a fusão, cisão ou incorporação, poderá ocorrer com a anuência do CONTRATANTE.</w:t>
      </w:r>
    </w:p>
    <w:p>
      <w:pPr>
        <w:pStyle w:val="Normal"/>
        <w:tabs>
          <w:tab w:val="clear" w:pos="708"/>
          <w:tab w:val="left" w:pos="-2268" w:leader="none"/>
        </w:tabs>
        <w:spacing w:lineRule="auto" w:line="240"/>
        <w:jc w:val="both"/>
        <w:rPr>
          <w:rFonts w:ascii="Verdana" w:hAnsi="Verdana"/>
          <w:sz w:val="20"/>
          <w:szCs w:val="20"/>
        </w:rPr>
      </w:pPr>
      <w:r>
        <w:rPr>
          <w:rFonts w:ascii="Verdana" w:hAnsi="Verdana"/>
          <w:sz w:val="20"/>
          <w:szCs w:val="20"/>
        </w:rPr>
      </w:r>
    </w:p>
    <w:p>
      <w:pPr>
        <w:pStyle w:val="Heading4"/>
        <w:numPr>
          <w:ilvl w:val="0"/>
          <w:numId w:val="0"/>
        </w:numPr>
        <w:spacing w:lineRule="auto" w:line="240" w:before="0" w:after="0"/>
        <w:ind w:hanging="0" w:left="0"/>
        <w:jc w:val="both"/>
        <w:rPr>
          <w:rFonts w:ascii="Verdana" w:hAnsi="Verdana"/>
          <w:sz w:val="20"/>
          <w:szCs w:val="20"/>
        </w:rPr>
      </w:pPr>
      <w:r>
        <w:rPr>
          <w:rFonts w:cs="Verdana" w:ascii="Verdana" w:hAnsi="Verdana"/>
          <w:sz w:val="20"/>
          <w:szCs w:val="20"/>
          <w:u w:val="single"/>
        </w:rPr>
        <w:t>CLÁUSULA DÉCIMA QUARTA – DO ADITAMENTO</w:t>
      </w:r>
    </w:p>
    <w:p>
      <w:pPr>
        <w:pStyle w:val="Normal"/>
        <w:spacing w:lineRule="auto" w:line="240"/>
        <w:jc w:val="both"/>
        <w:rPr>
          <w:rFonts w:ascii="Verdana" w:hAnsi="Verdana"/>
          <w:sz w:val="20"/>
          <w:szCs w:val="20"/>
        </w:rPr>
      </w:pPr>
      <w:r>
        <w:rPr>
          <w:rFonts w:cs="Verdana" w:ascii="Verdana" w:hAnsi="Verdana"/>
          <w:b/>
          <w:sz w:val="20"/>
          <w:szCs w:val="20"/>
        </w:rPr>
        <w:t xml:space="preserve">14.1 </w:t>
      </w:r>
      <w:r>
        <w:rPr>
          <w:rFonts w:cs="Verdana" w:ascii="Verdana" w:hAnsi="Verdana"/>
          <w:sz w:val="20"/>
          <w:szCs w:val="20"/>
        </w:rPr>
        <w:t>A partir da assinatura deste contrato, a este passam a ser aplicáveis todos os termos de aditamento que vierem a ser celebrados e que importem em alteração de qualquer condição descrita no presente contrato, desde que sejam assinados por representantes das partes, observados os limites e as formalidades legais, bem como ocorrerem por conveniência da administração.</w:t>
      </w:r>
    </w:p>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jc w:val="both"/>
        <w:rPr>
          <w:rFonts w:ascii="Verdana" w:hAnsi="Verdana"/>
          <w:sz w:val="20"/>
          <w:szCs w:val="20"/>
        </w:rPr>
      </w:pPr>
      <w:r>
        <w:rPr>
          <w:rFonts w:cs="Verdana" w:ascii="Verdana" w:hAnsi="Verdana"/>
          <w:b/>
          <w:sz w:val="20"/>
          <w:szCs w:val="20"/>
          <w:u w:val="single"/>
        </w:rPr>
        <w:t>CLÁUSULA DÉCIMA QUINTA – DA PUBLICAÇÃO</w:t>
      </w:r>
    </w:p>
    <w:p>
      <w:pPr>
        <w:pStyle w:val="Normal"/>
        <w:spacing w:lineRule="auto" w:line="240"/>
        <w:jc w:val="both"/>
        <w:rPr>
          <w:rFonts w:ascii="Verdana" w:hAnsi="Verdana"/>
          <w:sz w:val="20"/>
          <w:szCs w:val="20"/>
        </w:rPr>
      </w:pPr>
      <w:r>
        <w:rPr>
          <w:rFonts w:cs="Verdana" w:ascii="Verdana" w:hAnsi="Verdana"/>
          <w:b/>
          <w:sz w:val="20"/>
          <w:szCs w:val="20"/>
        </w:rPr>
        <w:t>15.1</w:t>
      </w:r>
      <w:r>
        <w:rPr>
          <w:rFonts w:cs="Verdana" w:ascii="Verdana" w:hAnsi="Verdana"/>
          <w:sz w:val="20"/>
          <w:szCs w:val="20"/>
        </w:rPr>
        <w:t xml:space="preserve"> O presente Contrato e seus aditamentos terão forma escrita e serão juntados ao processo que tiver dado origem à contratação, divulgados e mantidos à disposição do público em sítio eletrônico oficial.</w:t>
      </w:r>
    </w:p>
    <w:p>
      <w:pPr>
        <w:pStyle w:val="Normal"/>
        <w:spacing w:lineRule="auto" w:line="240"/>
        <w:jc w:val="both"/>
        <w:rPr>
          <w:rFonts w:ascii="Verdana" w:hAnsi="Verdana"/>
          <w:sz w:val="20"/>
          <w:szCs w:val="20"/>
        </w:rPr>
      </w:pPr>
      <w:r>
        <w:rPr>
          <w:rFonts w:ascii="Verdana" w:hAnsi="Verdana"/>
          <w:sz w:val="20"/>
          <w:szCs w:val="20"/>
        </w:rPr>
      </w:r>
    </w:p>
    <w:p>
      <w:pPr>
        <w:pStyle w:val="Heading3"/>
        <w:numPr>
          <w:ilvl w:val="0"/>
          <w:numId w:val="0"/>
        </w:numPr>
        <w:spacing w:lineRule="auto" w:line="240"/>
        <w:ind w:hanging="0" w:left="0"/>
        <w:rPr>
          <w:rFonts w:ascii="Verdana" w:hAnsi="Verdana"/>
          <w:sz w:val="20"/>
          <w:szCs w:val="20"/>
        </w:rPr>
      </w:pPr>
      <w:r>
        <w:rPr>
          <w:rFonts w:cs="Verdana" w:ascii="Verdana" w:hAnsi="Verdana"/>
          <w:b/>
          <w:sz w:val="20"/>
          <w:szCs w:val="20"/>
          <w:u w:val="single"/>
        </w:rPr>
        <w:t>CLÁUSULA DÉCIMA SEXTA – FORO</w:t>
      </w:r>
    </w:p>
    <w:p>
      <w:pPr>
        <w:pStyle w:val="Normal"/>
        <w:spacing w:lineRule="auto" w:line="240"/>
        <w:jc w:val="both"/>
        <w:rPr>
          <w:rFonts w:ascii="Verdana" w:hAnsi="Verdana"/>
          <w:sz w:val="20"/>
          <w:szCs w:val="20"/>
        </w:rPr>
      </w:pPr>
      <w:r>
        <w:rPr>
          <w:rFonts w:cs="Verdana" w:ascii="Verdana" w:hAnsi="Verdana"/>
          <w:b/>
          <w:sz w:val="20"/>
          <w:szCs w:val="20"/>
        </w:rPr>
        <w:t>16.1</w:t>
      </w:r>
      <w:r>
        <w:rPr>
          <w:rFonts w:cs="Verdana" w:ascii="Verdana" w:hAnsi="Verdana"/>
          <w:sz w:val="20"/>
          <w:szCs w:val="20"/>
        </w:rPr>
        <w:t xml:space="preserve"> Para as questões suscitadas e não resolvidas administrativamente, fica eleito o Foro da Comarca de São Gabriel da Palha, Estado do Espírito Santo, com expressa renúncia de qualquer outro, por mais privilegiado que seja para dirimir as dúvidas oriundas do presente instrumento.</w:t>
      </w:r>
    </w:p>
    <w:p>
      <w:pPr>
        <w:pStyle w:val="Normal"/>
        <w:tabs>
          <w:tab w:val="clear" w:pos="708"/>
          <w:tab w:val="left" w:pos="-2268" w:leader="none"/>
        </w:tabs>
        <w:spacing w:lineRule="auto" w:line="240"/>
        <w:jc w:val="both"/>
        <w:rPr>
          <w:rFonts w:ascii="Verdana" w:hAnsi="Verdana" w:cs="Verdana"/>
          <w:sz w:val="20"/>
          <w:szCs w:val="20"/>
        </w:rPr>
      </w:pPr>
      <w:r>
        <w:rPr>
          <w:rFonts w:cs="Verdana" w:ascii="Verdana" w:hAnsi="Verdana"/>
          <w:sz w:val="20"/>
          <w:szCs w:val="20"/>
        </w:rPr>
      </w:r>
    </w:p>
    <w:p>
      <w:pPr>
        <w:pStyle w:val="Normal"/>
        <w:tabs>
          <w:tab w:val="clear" w:pos="708"/>
          <w:tab w:val="left" w:pos="-2268" w:leader="none"/>
        </w:tabs>
        <w:spacing w:lineRule="auto" w:line="240"/>
        <w:jc w:val="both"/>
        <w:rPr>
          <w:rFonts w:ascii="Verdana" w:hAnsi="Verdana"/>
          <w:sz w:val="20"/>
          <w:szCs w:val="20"/>
        </w:rPr>
      </w:pPr>
      <w:r>
        <w:rPr>
          <w:rFonts w:cs="Verdana" w:ascii="Verdana" w:hAnsi="Verdana"/>
          <w:sz w:val="20"/>
          <w:szCs w:val="20"/>
        </w:rPr>
        <w:t>E, por estarem justos, combinados, assinam o presente instrumento, após lido e achado conforme, na presença das testemunhas abaixo assinadas.</w:t>
      </w:r>
    </w:p>
    <w:p>
      <w:pPr>
        <w:pStyle w:val="Normal"/>
        <w:spacing w:lineRule="auto" w:line="240"/>
        <w:rPr>
          <w:rFonts w:ascii="Verdana" w:hAnsi="Verdana" w:cs="Verdana"/>
          <w:sz w:val="20"/>
          <w:szCs w:val="20"/>
        </w:rPr>
      </w:pPr>
      <w:r>
        <w:rPr>
          <w:rFonts w:cs="Verdana" w:ascii="Verdana" w:hAnsi="Verdana"/>
          <w:sz w:val="20"/>
          <w:szCs w:val="20"/>
        </w:rPr>
      </w:r>
    </w:p>
    <w:p>
      <w:pPr>
        <w:pStyle w:val="Normal"/>
        <w:spacing w:lineRule="auto" w:line="240"/>
        <w:jc w:val="right"/>
        <w:rPr>
          <w:rFonts w:ascii="Verdana" w:hAnsi="Verdana"/>
          <w:sz w:val="20"/>
          <w:szCs w:val="20"/>
        </w:rPr>
      </w:pPr>
      <w:r>
        <w:rPr>
          <w:rFonts w:cs="Verdana" w:ascii="Verdana" w:hAnsi="Verdana"/>
          <w:sz w:val="20"/>
          <w:szCs w:val="20"/>
        </w:rPr>
        <w:t>São Gabriel da Palha, em .............. de 2026.</w:t>
      </w:r>
    </w:p>
    <w:p>
      <w:pPr>
        <w:pStyle w:val="Normal"/>
        <w:spacing w:lineRule="auto" w:line="240"/>
        <w:jc w:val="center"/>
        <w:rPr>
          <w:rFonts w:ascii="Verdana" w:hAnsi="Verdana" w:cs="Verdana"/>
          <w:b/>
          <w:sz w:val="20"/>
          <w:szCs w:val="20"/>
        </w:rPr>
      </w:pPr>
      <w:r>
        <w:rPr>
          <w:rFonts w:cs="Verdana" w:ascii="Verdana" w:hAnsi="Verdana"/>
          <w:b/>
          <w:sz w:val="20"/>
          <w:szCs w:val="20"/>
        </w:rPr>
      </w:r>
    </w:p>
    <w:p>
      <w:pPr>
        <w:pStyle w:val="Normal"/>
        <w:spacing w:lineRule="auto" w:line="240"/>
        <w:jc w:val="center"/>
        <w:rPr>
          <w:rFonts w:ascii="Verdana" w:hAnsi="Verdana"/>
          <w:sz w:val="20"/>
          <w:szCs w:val="20"/>
        </w:rPr>
      </w:pPr>
      <w:r>
        <w:rPr>
          <w:rFonts w:cs="Verdana" w:ascii="Verdana" w:hAnsi="Verdana"/>
          <w:b/>
          <w:sz w:val="20"/>
          <w:szCs w:val="20"/>
        </w:rPr>
        <w:t>Prefeito Municipal</w:t>
      </w:r>
    </w:p>
    <w:p>
      <w:pPr>
        <w:pStyle w:val="Normal"/>
        <w:spacing w:lineRule="auto" w:line="240"/>
        <w:jc w:val="center"/>
        <w:rPr>
          <w:rFonts w:ascii="Verdana" w:hAnsi="Verdana"/>
          <w:sz w:val="20"/>
          <w:szCs w:val="20"/>
        </w:rPr>
      </w:pPr>
      <w:r>
        <w:rPr>
          <w:rFonts w:cs="Verdana" w:ascii="Verdana" w:hAnsi="Verdana"/>
          <w:b/>
          <w:sz w:val="20"/>
          <w:szCs w:val="20"/>
        </w:rPr>
        <w:t>CONTRATANTE</w:t>
      </w:r>
    </w:p>
    <w:p>
      <w:pPr>
        <w:pStyle w:val="Normal"/>
        <w:spacing w:lineRule="auto" w:line="240"/>
        <w:jc w:val="center"/>
        <w:rPr>
          <w:rFonts w:ascii="Verdana" w:hAnsi="Verdana" w:cs="Verdana"/>
          <w:b/>
          <w:sz w:val="20"/>
          <w:szCs w:val="20"/>
        </w:rPr>
      </w:pPr>
      <w:r>
        <w:rPr>
          <w:rFonts w:cs="Verdana" w:ascii="Verdana" w:hAnsi="Verdana"/>
          <w:b/>
          <w:sz w:val="20"/>
          <w:szCs w:val="20"/>
        </w:rPr>
      </w:r>
    </w:p>
    <w:p>
      <w:pPr>
        <w:pStyle w:val="Normal"/>
        <w:spacing w:lineRule="auto" w:line="240"/>
        <w:jc w:val="center"/>
        <w:rPr>
          <w:rFonts w:ascii="Verdana" w:hAnsi="Verdana"/>
          <w:sz w:val="20"/>
          <w:szCs w:val="20"/>
        </w:rPr>
      </w:pPr>
      <w:r>
        <w:rPr>
          <w:rFonts w:cs="Verdana" w:ascii="Verdana" w:hAnsi="Verdana"/>
          <w:b/>
          <w:sz w:val="20"/>
          <w:szCs w:val="20"/>
        </w:rPr>
        <w:t>CONTRATADO</w:t>
      </w:r>
    </w:p>
    <w:p>
      <w:pPr>
        <w:pStyle w:val="Normal"/>
        <w:spacing w:lineRule="auto" w:line="240"/>
        <w:jc w:val="center"/>
        <w:rPr>
          <w:rFonts w:ascii="Verdana" w:hAnsi="Verdana" w:cs="Verdana"/>
          <w:b/>
          <w:sz w:val="20"/>
          <w:szCs w:val="20"/>
        </w:rPr>
      </w:pPr>
      <w:r>
        <w:rPr>
          <w:rFonts w:cs="Verdana" w:ascii="Verdana" w:hAnsi="Verdana"/>
          <w:b/>
          <w:sz w:val="20"/>
          <w:szCs w:val="20"/>
        </w:rPr>
      </w:r>
    </w:p>
    <w:tbl>
      <w:tblPr>
        <w:tblW w:w="9072" w:type="dxa"/>
        <w:jc w:val="left"/>
        <w:tblInd w:w="70" w:type="dxa"/>
        <w:tblLayout w:type="fixed"/>
        <w:tblCellMar>
          <w:top w:w="0" w:type="dxa"/>
          <w:left w:w="70" w:type="dxa"/>
          <w:bottom w:w="0" w:type="dxa"/>
          <w:right w:w="70" w:type="dxa"/>
        </w:tblCellMar>
        <w:tblLook w:firstRow="1" w:noVBand="1" w:lastRow="0" w:firstColumn="1" w:lastColumn="0" w:noHBand="0" w:val="04a0"/>
      </w:tblPr>
      <w:tblGrid>
        <w:gridCol w:w="3959"/>
        <w:gridCol w:w="721"/>
        <w:gridCol w:w="4392"/>
      </w:tblGrid>
      <w:tr>
        <w:trPr>
          <w:trHeight w:val="420" w:hRule="atLeast"/>
          <w:cantSplit w:val="true"/>
        </w:trPr>
        <w:tc>
          <w:tcPr>
            <w:tcW w:w="3959" w:type="dxa"/>
            <w:tcBorders/>
          </w:tcPr>
          <w:p>
            <w:pPr>
              <w:pStyle w:val="Normal"/>
              <w:widowControl w:val="false"/>
              <w:spacing w:lineRule="auto" w:line="240"/>
              <w:rPr>
                <w:rFonts w:ascii="Verdana" w:hAnsi="Verdana"/>
                <w:sz w:val="20"/>
                <w:szCs w:val="20"/>
              </w:rPr>
            </w:pPr>
            <w:r>
              <w:rPr>
                <w:rFonts w:cs="Verdana" w:ascii="Verdana" w:hAnsi="Verdana"/>
                <w:sz w:val="20"/>
                <w:szCs w:val="20"/>
              </w:rPr>
              <w:t>Testemunhas:</w:t>
            </w:r>
          </w:p>
        </w:tc>
        <w:tc>
          <w:tcPr>
            <w:tcW w:w="721" w:type="dxa"/>
            <w:tcBorders/>
          </w:tcPr>
          <w:p>
            <w:pPr>
              <w:pStyle w:val="Normal"/>
              <w:widowControl w:val="false"/>
              <w:snapToGrid w:val="false"/>
              <w:spacing w:lineRule="auto" w:line="240"/>
              <w:rPr>
                <w:rFonts w:ascii="Verdana" w:hAnsi="Verdana" w:cs="Verdana"/>
                <w:sz w:val="20"/>
                <w:szCs w:val="20"/>
              </w:rPr>
            </w:pPr>
            <w:r>
              <w:rPr>
                <w:rFonts w:cs="Verdana" w:ascii="Verdana" w:hAnsi="Verdana"/>
                <w:sz w:val="20"/>
                <w:szCs w:val="20"/>
              </w:rPr>
            </w:r>
          </w:p>
        </w:tc>
        <w:tc>
          <w:tcPr>
            <w:tcW w:w="4392" w:type="dxa"/>
            <w:tcBorders/>
          </w:tcPr>
          <w:p>
            <w:pPr>
              <w:pStyle w:val="Normal"/>
              <w:widowControl w:val="false"/>
              <w:spacing w:lineRule="auto" w:line="240"/>
              <w:rPr>
                <w:rFonts w:ascii="Verdana" w:hAnsi="Verdana"/>
                <w:sz w:val="20"/>
                <w:szCs w:val="20"/>
              </w:rPr>
            </w:pPr>
            <w:r>
              <w:rPr>
                <w:rFonts w:cs="Verdana" w:ascii="Verdana" w:hAnsi="Verdana"/>
                <w:sz w:val="20"/>
                <w:szCs w:val="20"/>
              </w:rPr>
              <w:t>CPF:</w:t>
            </w:r>
          </w:p>
        </w:tc>
      </w:tr>
      <w:tr>
        <w:trPr/>
        <w:tc>
          <w:tcPr>
            <w:tcW w:w="3959" w:type="dxa"/>
            <w:tcBorders/>
          </w:tcPr>
          <w:p>
            <w:pPr>
              <w:pStyle w:val="Normal"/>
              <w:widowControl w:val="false"/>
              <w:snapToGrid w:val="false"/>
              <w:spacing w:lineRule="auto" w:line="240"/>
              <w:rPr>
                <w:rFonts w:ascii="Verdana" w:hAnsi="Verdana" w:cs="Verdana"/>
                <w:sz w:val="20"/>
                <w:szCs w:val="20"/>
              </w:rPr>
            </w:pPr>
            <w:r>
              <w:rPr>
                <w:rFonts w:cs="Verdana" w:ascii="Verdana" w:hAnsi="Verdana"/>
                <w:sz w:val="20"/>
                <w:szCs w:val="20"/>
              </w:rPr>
            </w:r>
          </w:p>
          <w:p>
            <w:pPr>
              <w:pStyle w:val="Normal"/>
              <w:widowControl w:val="false"/>
              <w:snapToGrid w:val="false"/>
              <w:spacing w:lineRule="auto" w:line="240"/>
              <w:rPr>
                <w:rFonts w:ascii="Verdana" w:hAnsi="Verdana" w:cs="Verdana"/>
                <w:sz w:val="20"/>
                <w:szCs w:val="20"/>
              </w:rPr>
            </w:pPr>
            <w:r>
              <w:rPr>
                <w:rFonts w:cs="Verdana" w:ascii="Verdana" w:hAnsi="Verdana"/>
                <w:sz w:val="20"/>
                <w:szCs w:val="20"/>
              </w:rPr>
            </w:r>
          </w:p>
        </w:tc>
        <w:tc>
          <w:tcPr>
            <w:tcW w:w="721" w:type="dxa"/>
            <w:tcBorders/>
          </w:tcPr>
          <w:p>
            <w:pPr>
              <w:pStyle w:val="Normal"/>
              <w:widowControl w:val="false"/>
              <w:snapToGrid w:val="false"/>
              <w:spacing w:lineRule="auto" w:line="240"/>
              <w:rPr>
                <w:rFonts w:ascii="Verdana" w:hAnsi="Verdana" w:cs="Verdana"/>
                <w:sz w:val="20"/>
                <w:szCs w:val="20"/>
              </w:rPr>
            </w:pPr>
            <w:r>
              <w:rPr>
                <w:rFonts w:cs="Verdana" w:ascii="Verdana" w:hAnsi="Verdana"/>
                <w:sz w:val="20"/>
                <w:szCs w:val="20"/>
              </w:rPr>
            </w:r>
          </w:p>
        </w:tc>
        <w:tc>
          <w:tcPr>
            <w:tcW w:w="4392" w:type="dxa"/>
            <w:tcBorders/>
          </w:tcPr>
          <w:p>
            <w:pPr>
              <w:pStyle w:val="Normal"/>
              <w:widowControl w:val="false"/>
              <w:snapToGrid w:val="false"/>
              <w:spacing w:lineRule="auto" w:line="240"/>
              <w:rPr>
                <w:rFonts w:ascii="Verdana" w:hAnsi="Verdana" w:cs="Verdana"/>
                <w:sz w:val="20"/>
                <w:szCs w:val="20"/>
              </w:rPr>
            </w:pPr>
            <w:r>
              <w:rPr>
                <w:rFonts w:cs="Verdana" w:ascii="Verdana" w:hAnsi="Verdana"/>
                <w:sz w:val="20"/>
                <w:szCs w:val="20"/>
              </w:rPr>
            </w:r>
          </w:p>
        </w:tc>
      </w:tr>
      <w:tr>
        <w:trPr/>
        <w:tc>
          <w:tcPr>
            <w:tcW w:w="3959" w:type="dxa"/>
            <w:tcBorders>
              <w:top w:val="single" w:sz="4" w:space="0" w:color="000000"/>
              <w:bottom w:val="single" w:sz="4" w:space="0" w:color="000000"/>
            </w:tcBorders>
          </w:tcPr>
          <w:p>
            <w:pPr>
              <w:pStyle w:val="Normal"/>
              <w:widowControl w:val="false"/>
              <w:snapToGrid w:val="false"/>
              <w:spacing w:lineRule="auto" w:line="240"/>
              <w:rPr>
                <w:rFonts w:ascii="Verdana" w:hAnsi="Verdana" w:cs="Verdana"/>
                <w:sz w:val="20"/>
                <w:szCs w:val="20"/>
              </w:rPr>
            </w:pPr>
            <w:r>
              <w:rPr>
                <w:rFonts w:cs="Verdana" w:ascii="Verdana" w:hAnsi="Verdana"/>
                <w:sz w:val="20"/>
                <w:szCs w:val="20"/>
              </w:rPr>
            </w:r>
          </w:p>
        </w:tc>
        <w:tc>
          <w:tcPr>
            <w:tcW w:w="721" w:type="dxa"/>
            <w:tcBorders/>
          </w:tcPr>
          <w:p>
            <w:pPr>
              <w:pStyle w:val="Normal"/>
              <w:widowControl w:val="false"/>
              <w:snapToGrid w:val="false"/>
              <w:spacing w:lineRule="auto" w:line="240"/>
              <w:rPr>
                <w:rFonts w:ascii="Verdana" w:hAnsi="Verdana" w:cs="Verdana"/>
                <w:sz w:val="20"/>
                <w:szCs w:val="20"/>
              </w:rPr>
            </w:pPr>
            <w:r>
              <w:rPr>
                <w:rFonts w:cs="Verdana" w:ascii="Verdana" w:hAnsi="Verdana"/>
                <w:sz w:val="20"/>
                <w:szCs w:val="20"/>
              </w:rPr>
            </w:r>
          </w:p>
        </w:tc>
        <w:tc>
          <w:tcPr>
            <w:tcW w:w="4392" w:type="dxa"/>
            <w:tcBorders>
              <w:top w:val="single" w:sz="4" w:space="0" w:color="000000"/>
              <w:bottom w:val="single" w:sz="4" w:space="0" w:color="000000"/>
            </w:tcBorders>
          </w:tcPr>
          <w:p>
            <w:pPr>
              <w:pStyle w:val="Normal"/>
              <w:widowControl w:val="false"/>
              <w:snapToGrid w:val="false"/>
              <w:spacing w:lineRule="auto" w:line="240"/>
              <w:rPr>
                <w:rFonts w:ascii="Verdana" w:hAnsi="Verdana" w:cs="Verdana"/>
                <w:sz w:val="20"/>
                <w:szCs w:val="20"/>
              </w:rPr>
            </w:pPr>
            <w:r>
              <w:rPr>
                <w:rFonts w:cs="Verdana" w:ascii="Verdana" w:hAnsi="Verdana"/>
                <w:sz w:val="20"/>
                <w:szCs w:val="20"/>
              </w:rPr>
            </w:r>
          </w:p>
          <w:p>
            <w:pPr>
              <w:pStyle w:val="Normal"/>
              <w:widowControl w:val="false"/>
              <w:spacing w:lineRule="auto" w:line="240"/>
              <w:rPr>
                <w:rFonts w:ascii="Verdana" w:hAnsi="Verdana" w:cs="Verdana"/>
                <w:sz w:val="20"/>
                <w:szCs w:val="20"/>
              </w:rPr>
            </w:pPr>
            <w:r>
              <w:rPr>
                <w:rFonts w:cs="Verdana" w:ascii="Verdana" w:hAnsi="Verdana"/>
                <w:sz w:val="20"/>
                <w:szCs w:val="20"/>
              </w:rPr>
            </w:r>
          </w:p>
        </w:tc>
      </w:tr>
    </w:tbl>
    <w:p>
      <w:pPr>
        <w:pStyle w:val="Normal"/>
        <w:spacing w:lineRule="auto" w:line="240"/>
        <w:rPr>
          <w:rFonts w:ascii="Verdana" w:hAnsi="Verdana"/>
          <w:sz w:val="20"/>
          <w:szCs w:val="20"/>
        </w:rPr>
      </w:pPr>
      <w:r>
        <w:rPr>
          <w:rFonts w:ascii="Verdana" w:hAnsi="Verdana"/>
          <w:sz w:val="20"/>
          <w:szCs w:val="20"/>
        </w:rPr>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701" w:right="1134" w:gutter="0" w:header="284" w:top="1560" w:footer="236" w:bottom="851"/>
      <w:pgNumType w:fmt="decimal"/>
      <w:formProt w:val="false"/>
      <w:textDirection w:val="lrTb"/>
      <w:docGrid w:type="default" w:linePitch="360" w:charSpace="1638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0"/>
    <w:family w:val="roman"/>
    <w:pitch w:val="variable"/>
  </w:font>
  <w:font w:name="Arial">
    <w:charset w:val="00"/>
    <w:family w:val="roman"/>
    <w:pitch w:val="variable"/>
  </w:font>
  <w:font w:name="Calibri">
    <w:charset w:val="00"/>
    <w:family w:val="roman"/>
    <w:pitch w:val="variable"/>
  </w:font>
  <w:font w:name="Symbol">
    <w:charset w:val="00"/>
    <w:family w:val="roman"/>
    <w:pitch w:val="variable"/>
  </w:font>
  <w:font w:name="Verdana">
    <w:charset w:val="00"/>
    <w:family w:val="roman"/>
    <w:pitch w:val="variable"/>
  </w:font>
  <w:font w:name="Courier New">
    <w:charset w:val="00"/>
    <w:family w:val="roman"/>
    <w:pitch w:val="variable"/>
  </w:font>
  <w:font w:name="Wingdings">
    <w:charset w:val="00"/>
    <w:family w:val="roman"/>
    <w:pitch w:val="variable"/>
  </w:font>
  <w:font w:name="Tahoma">
    <w:charset w:val="00"/>
    <w:family w:val="roman"/>
    <w:pitch w:val="variable"/>
  </w:font>
  <w:font w:name="Liberation Sans">
    <w:altName w:val="Arial"/>
    <w:charset w:val="00"/>
    <w:family w:val="roman"/>
    <w:pitch w:val="variable"/>
  </w:font>
  <w:font w:name="Verdana">
    <w:charset w:val="01"/>
    <w:family w:val="swiss"/>
    <w:pitch w:val="variable"/>
  </w:font>
  <w:font w:name="Arial Narrow">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Arial" w:hAnsi="Arial" w:cs="Arial"/>
        <w:b/>
        <w:sz w:val="16"/>
        <w:szCs w:val="16"/>
      </w:rPr>
    </w:pPr>
    <w:r>
      <w:rPr>
        <w:rFonts w:cs="Arial" w:ascii="Arial" w:hAnsi="Arial"/>
        <w:b/>
        <w:sz w:val="16"/>
        <w:szCs w:val="16"/>
      </w:rPr>
      <w:t>Praça Vicente Glazar nº 159, Centro, São Gabriel da Palha, ES. CEP. 29.780-000.</w:t>
    </w:r>
  </w:p>
  <w:p>
    <w:pPr>
      <w:pStyle w:val="Header"/>
      <w:jc w:val="center"/>
      <w:rPr>
        <w:rFonts w:ascii="Arial" w:hAnsi="Arial" w:cs="Arial"/>
        <w:b/>
        <w:sz w:val="16"/>
        <w:szCs w:val="16"/>
      </w:rPr>
    </w:pPr>
    <w:r>
      <w:rPr>
        <w:rFonts w:cs="Arial" w:ascii="Arial" w:hAnsi="Arial"/>
        <w:b/>
        <w:sz w:val="16"/>
        <w:szCs w:val="16"/>
      </w:rPr>
      <w:t>Telefax 0(xx) 27 3727-1366.</w:t>
    </w:r>
  </w:p>
  <w:p>
    <w:pPr>
      <w:pStyle w:val="Header"/>
      <w:jc w:val="center"/>
      <w:rPr/>
    </w:pPr>
    <w:hyperlink r:id="rId1">
      <w:r>
        <w:rPr>
          <w:rStyle w:val="ListLabel64"/>
          <w:rFonts w:cs="Arial" w:ascii="Arial" w:hAnsi="Arial"/>
          <w:b/>
          <w:color w:val="000080"/>
          <w:sz w:val="16"/>
          <w:szCs w:val="16"/>
          <w:u w:val="single"/>
        </w:rPr>
        <w:t>www.saogabriel.es.gov.br</w:t>
      </w:r>
    </w:hyperlink>
    <w:r>
      <w:rPr>
        <w:rFonts w:cs="Arial" w:ascii="Arial" w:hAnsi="Arial"/>
        <w:b/>
        <w:sz w:val="16"/>
        <w:szCs w:val="16"/>
      </w:rPr>
      <w:t xml:space="preserve"> </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Arial" w:hAnsi="Arial" w:cs="Arial"/>
        <w:b/>
        <w:sz w:val="16"/>
        <w:szCs w:val="16"/>
      </w:rPr>
    </w:pPr>
    <w:r>
      <w:rPr>
        <w:rFonts w:cs="Arial" w:ascii="Arial" w:hAnsi="Arial"/>
        <w:b/>
        <w:sz w:val="16"/>
        <w:szCs w:val="16"/>
      </w:rPr>
      <w:t>Praça Vicente Glazar nº 159, Centro, São Gabriel da Palha, ES. CEP. 29.780-000.</w:t>
    </w:r>
  </w:p>
  <w:p>
    <w:pPr>
      <w:pStyle w:val="Header"/>
      <w:jc w:val="center"/>
      <w:rPr>
        <w:rFonts w:ascii="Arial" w:hAnsi="Arial" w:cs="Arial"/>
        <w:b/>
        <w:sz w:val="16"/>
        <w:szCs w:val="16"/>
      </w:rPr>
    </w:pPr>
    <w:r>
      <w:rPr>
        <w:rFonts w:cs="Arial" w:ascii="Arial" w:hAnsi="Arial"/>
        <w:b/>
        <w:sz w:val="16"/>
        <w:szCs w:val="16"/>
      </w:rPr>
      <w:t>Telefax 0(xx) 27 3727-1366.</w:t>
    </w:r>
  </w:p>
  <w:p>
    <w:pPr>
      <w:pStyle w:val="Header"/>
      <w:jc w:val="center"/>
      <w:rPr/>
    </w:pPr>
    <w:hyperlink r:id="rId1">
      <w:r>
        <w:rPr>
          <w:rStyle w:val="ListLabel64"/>
          <w:rFonts w:cs="Arial" w:ascii="Arial" w:hAnsi="Arial"/>
          <w:b/>
          <w:color w:val="000080"/>
          <w:sz w:val="16"/>
          <w:szCs w:val="16"/>
          <w:u w:val="single"/>
        </w:rPr>
        <w:t>www.saogabriel.es.gov.br</w:t>
      </w:r>
    </w:hyperlink>
    <w:r>
      <w:rPr>
        <w:rFonts w:cs="Arial" w:ascii="Arial" w:hAnsi="Arial"/>
        <w:b/>
        <w:sz w:val="16"/>
        <w:szCs w:val="16"/>
      </w:rPr>
      <w:t xml:space="preserve"> </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cs="Verdana"/>
        <w:sz w:val="26"/>
        <w:szCs w:val="26"/>
      </w:rPr>
    </w:pPr>
    <w:r>
      <w:rPr>
        <w:rFonts w:cs="Verdana" w:ascii="Verdana" w:hAnsi="Verdana"/>
        <w:sz w:val="26"/>
        <w:szCs w:val="26"/>
      </w:rPr>
    </w:r>
  </w:p>
  <w:p>
    <w:pPr>
      <w:pStyle w:val="Normal"/>
      <w:spacing w:lineRule="auto" w:line="276"/>
      <w:jc w:val="center"/>
      <w:rPr>
        <w:rFonts w:ascii="Arial" w:hAnsi="Arial" w:cs="Arial"/>
        <w:b/>
      </w:rPr>
    </w:pPr>
    <w:r>
      <w:drawing>
        <wp:anchor behindDoc="1" distT="0" distB="0" distL="114935" distR="114935" simplePos="0" locked="0" layoutInCell="0" allowOverlap="1" relativeHeight="7">
          <wp:simplePos x="0" y="0"/>
          <wp:positionH relativeFrom="column">
            <wp:posOffset>-228600</wp:posOffset>
          </wp:positionH>
          <wp:positionV relativeFrom="paragraph">
            <wp:posOffset>-3810</wp:posOffset>
          </wp:positionV>
          <wp:extent cx="636270" cy="531495"/>
          <wp:effectExtent l="0" t="0" r="0" b="0"/>
          <wp:wrapSquare wrapText="bothSides"/>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tretch>
                    <a:fillRect/>
                  </a:stretch>
                </pic:blipFill>
                <pic:spPr bwMode="auto">
                  <a:xfrm>
                    <a:off x="0" y="0"/>
                    <a:ext cx="636270" cy="531495"/>
                  </a:xfrm>
                  <a:prstGeom prst="rect">
                    <a:avLst/>
                  </a:prstGeom>
                </pic:spPr>
              </pic:pic>
            </a:graphicData>
          </a:graphic>
        </wp:anchor>
      </w:drawing>
    </w:r>
    <w:r>
      <w:rPr>
        <w:rFonts w:cs="Verdana" w:ascii="Verdana" w:hAnsi="Verdana"/>
        <w:sz w:val="26"/>
        <w:szCs w:val="26"/>
      </w:rPr>
      <w:t>PREFEITURA MUNICIPAL DE SÃO GABRIEL DA PALHA</w:t>
    </w:r>
    <w:r>
      <w:rPr>
        <w:rFonts w:cs="Verdana" w:ascii="Verdana" w:hAnsi="Verdana"/>
        <w:b/>
        <w:sz w:val="26"/>
        <w:szCs w:val="26"/>
      </w:rPr>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Arial Narrow" w:hAnsi="Arial Narrow"/>
        <w:b/>
      </w:rPr>
      <w:t>Secretaria Municipal Administração</w:t>
    </w:r>
  </w:p>
  <w:p>
    <w:pPr>
      <w:pStyle w:val="Header"/>
      <w:jc w:val="center"/>
      <w:rPr>
        <w:rFonts w:ascii="Arial" w:hAnsi="Arial" w:cs="Arial"/>
        <w:b/>
        <w:sz w:val="14"/>
        <w:szCs w:val="14"/>
      </w:rPr>
    </w:pPr>
    <w:r>
      <w:rPr>
        <w:rFonts w:cs="Arial" w:ascii="Arial" w:hAnsi="Arial"/>
        <w:b/>
        <w:sz w:val="14"/>
        <w:szCs w:val="14"/>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cs="Verdana"/>
        <w:sz w:val="26"/>
        <w:szCs w:val="26"/>
      </w:rPr>
    </w:pPr>
    <w:r>
      <w:rPr>
        <w:rFonts w:cs="Verdana" w:ascii="Verdana" w:hAnsi="Verdana"/>
        <w:sz w:val="26"/>
        <w:szCs w:val="26"/>
      </w:rPr>
    </w:r>
  </w:p>
  <w:p>
    <w:pPr>
      <w:pStyle w:val="Normal"/>
      <w:spacing w:lineRule="auto" w:line="276"/>
      <w:jc w:val="center"/>
      <w:rPr>
        <w:rFonts w:ascii="Arial" w:hAnsi="Arial" w:cs="Arial"/>
        <w:b/>
      </w:rPr>
    </w:pPr>
    <w:r>
      <w:drawing>
        <wp:anchor behindDoc="1" distT="0" distB="0" distL="114935" distR="114935" simplePos="0" locked="0" layoutInCell="0" allowOverlap="1" relativeHeight="7">
          <wp:simplePos x="0" y="0"/>
          <wp:positionH relativeFrom="column">
            <wp:posOffset>-228600</wp:posOffset>
          </wp:positionH>
          <wp:positionV relativeFrom="paragraph">
            <wp:posOffset>-3810</wp:posOffset>
          </wp:positionV>
          <wp:extent cx="636270" cy="531495"/>
          <wp:effectExtent l="0" t="0" r="0" b="0"/>
          <wp:wrapSquare wrapText="bothSides"/>
          <wp:docPr id="2"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descr=""/>
                  <pic:cNvPicPr>
                    <a:picLocks noChangeAspect="1" noChangeArrowheads="1"/>
                  </pic:cNvPicPr>
                </pic:nvPicPr>
                <pic:blipFill>
                  <a:blip r:embed="rId1"/>
                  <a:stretch>
                    <a:fillRect/>
                  </a:stretch>
                </pic:blipFill>
                <pic:spPr bwMode="auto">
                  <a:xfrm>
                    <a:off x="0" y="0"/>
                    <a:ext cx="636270" cy="531495"/>
                  </a:xfrm>
                  <a:prstGeom prst="rect">
                    <a:avLst/>
                  </a:prstGeom>
                </pic:spPr>
              </pic:pic>
            </a:graphicData>
          </a:graphic>
        </wp:anchor>
      </w:drawing>
    </w:r>
    <w:r>
      <w:rPr>
        <w:rFonts w:cs="Verdana" w:ascii="Verdana" w:hAnsi="Verdana"/>
        <w:sz w:val="26"/>
        <w:szCs w:val="26"/>
      </w:rPr>
      <w:t>PREFEITURA MUNICIPAL DE SÃO GABRIEL DA PALHA</w:t>
    </w:r>
    <w:r>
      <w:rPr>
        <w:rFonts w:cs="Verdana" w:ascii="Verdana" w:hAnsi="Verdana"/>
        <w:b/>
        <w:sz w:val="26"/>
        <w:szCs w:val="26"/>
      </w:rPr>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Arial Narrow" w:hAnsi="Arial Narrow"/>
        <w:b/>
      </w:rPr>
      <w:t>Secretaria Municipal Administração</w:t>
    </w:r>
  </w:p>
  <w:p>
    <w:pPr>
      <w:pStyle w:val="Header"/>
      <w:jc w:val="center"/>
      <w:rPr>
        <w:rFonts w:ascii="Arial" w:hAnsi="Arial" w:cs="Arial"/>
        <w:b/>
        <w:sz w:val="14"/>
        <w:szCs w:val="14"/>
      </w:rPr>
    </w:pPr>
    <w:r>
      <w:rPr>
        <w:rFonts w:cs="Arial" w:ascii="Arial" w:hAnsi="Arial"/>
        <w:b/>
        <w:sz w:val="14"/>
        <w:szCs w:val="14"/>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1."/>
      <w:lvlJc w:val="left"/>
      <w:pPr>
        <w:tabs>
          <w:tab w:val="num" w:pos="720"/>
        </w:tabs>
        <w:ind w:left="720" w:hanging="360"/>
      </w:pPr>
    </w:lvl>
    <w:lvl w:ilvl="1">
      <w:start w:val="1"/>
      <w:numFmt w:val="none"/>
      <w:suff w:val="nothing"/>
      <w:lvlText w:val="%2."/>
      <w:lvlJc w:val="left"/>
      <w:pPr>
        <w:tabs>
          <w:tab w:val="num" w:pos="1080"/>
        </w:tabs>
        <w:ind w:left="1080" w:hanging="360"/>
      </w:pPr>
    </w:lvl>
    <w:lvl w:ilvl="2">
      <w:start w:val="1"/>
      <w:numFmt w:val="none"/>
      <w:suff w:val="nothing"/>
      <w:lvlText w:val="%3."/>
      <w:lvlJc w:val="left"/>
      <w:pPr>
        <w:tabs>
          <w:tab w:val="num" w:pos="1440"/>
        </w:tabs>
        <w:ind w:left="1440" w:hanging="360"/>
      </w:pPr>
    </w:lvl>
    <w:lvl w:ilvl="3">
      <w:start w:val="1"/>
      <w:numFmt w:val="none"/>
      <w:suff w:val="nothing"/>
      <w:lvlText w:val="%4."/>
      <w:lvlJc w:val="left"/>
      <w:pPr>
        <w:tabs>
          <w:tab w:val="num" w:pos="1800"/>
        </w:tabs>
        <w:ind w:left="1800" w:hanging="360"/>
      </w:pPr>
    </w:lvl>
    <w:lvl w:ilvl="4">
      <w:start w:val="1"/>
      <w:numFmt w:val="none"/>
      <w:suff w:val="nothing"/>
      <w:lvlText w:val="%5."/>
      <w:lvlJc w:val="left"/>
      <w:pPr>
        <w:tabs>
          <w:tab w:val="num" w:pos="2160"/>
        </w:tabs>
        <w:ind w:left="2160" w:hanging="360"/>
      </w:pPr>
    </w:lvl>
    <w:lvl w:ilvl="5">
      <w:start w:val="1"/>
      <w:numFmt w:val="none"/>
      <w:suff w:val="nothing"/>
      <w:lvlText w:val="%6."/>
      <w:lvlJc w:val="left"/>
      <w:pPr>
        <w:tabs>
          <w:tab w:val="num" w:pos="2520"/>
        </w:tabs>
        <w:ind w:left="2520" w:hanging="360"/>
      </w:pPr>
    </w:lvl>
    <w:lvl w:ilvl="6">
      <w:start w:val="1"/>
      <w:numFmt w:val="none"/>
      <w:suff w:val="nothing"/>
      <w:lvlText w:val="%7."/>
      <w:lvlJc w:val="left"/>
      <w:pPr>
        <w:tabs>
          <w:tab w:val="num" w:pos="2880"/>
        </w:tabs>
        <w:ind w:left="2880" w:hanging="360"/>
      </w:pPr>
    </w:lvl>
    <w:lvl w:ilvl="7">
      <w:start w:val="1"/>
      <w:numFmt w:val="none"/>
      <w:suff w:val="nothing"/>
      <w:lvlText w:val="%8."/>
      <w:lvlJc w:val="left"/>
      <w:pPr>
        <w:tabs>
          <w:tab w:val="num" w:pos="3240"/>
        </w:tabs>
        <w:ind w:left="3240" w:hanging="360"/>
      </w:pPr>
    </w:lvl>
    <w:lvl w:ilvl="8">
      <w:start w:val="1"/>
      <w:numFmt w:val="none"/>
      <w:suff w:val="nothing"/>
      <w:lvlText w:val="%9."/>
      <w:lvlJc w:val="left"/>
      <w:pPr>
        <w:tabs>
          <w:tab w:val="num" w:pos="3600"/>
        </w:tabs>
        <w:ind w:left="3600" w:hanging="360"/>
      </w:pPr>
    </w:lvl>
  </w:abstractNum>
  <w:abstractNum w:abstractNumId="2">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3">
    <w:lvl w:ilvl="0">
      <w:start w:val="1"/>
      <w:numFmt w:val="lowerLetter"/>
      <w:lvlText w:val="%1."/>
      <w:lvlJc w:val="left"/>
      <w:pPr>
        <w:tabs>
          <w:tab w:val="num" w:pos="0"/>
        </w:tabs>
        <w:ind w:left="0" w:hanging="0"/>
      </w:pPr>
      <w:rPr>
        <w:sz w:val="20"/>
        <w:i w:val="false"/>
        <w:b/>
        <w:szCs w:val="20"/>
        <w:rFonts w:ascii="Arial" w:hAnsi="Arial" w:cs="Arial"/>
        <w:color w:val="000000"/>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lowerLetter"/>
      <w:lvlText w:val="%1."/>
      <w:lvlJc w:val="left"/>
      <w:pPr>
        <w:tabs>
          <w:tab w:val="num" w:pos="0"/>
        </w:tabs>
        <w:ind w:left="720" w:hanging="360"/>
      </w:pPr>
      <w:rPr>
        <w:vertAlign w:val="baseline"/>
        <w:position w:val="0"/>
        <w:sz w:val="20"/>
        <w:sz w:val="20"/>
        <w:spacing w:val="0"/>
        <w:i w:val="false"/>
        <w:b/>
        <w:kern w:val="2"/>
        <w:szCs w:val="20"/>
        <w:rFonts w:ascii="Verdana" w:hAnsi="Verdana" w:eastAsia="Batang;바탕" w:cs="Arial"/>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szCs w:val="20"/>
        <w:bCs/>
        <w:rFonts w:ascii="Verdana" w:hAnsi="Verdana" w:cs="Verdana"/>
        <w:color w:val="000000"/>
      </w:rPr>
    </w:lvl>
    <w:lvl w:ilvl="2">
      <w:start w:val="1"/>
      <w:numFmt w:val="decimal"/>
      <w:lvlText w:val="%1.%2.%3."/>
      <w:lvlJc w:val="left"/>
      <w:pPr>
        <w:tabs>
          <w:tab w:val="num" w:pos="0"/>
        </w:tabs>
        <w:ind w:left="3198" w:hanging="504"/>
      </w:pPr>
      <w:rPr>
        <w:dstrike w:val="false"/>
        <w:strike w:val="false"/>
        <w:sz w:val="20"/>
        <w:i w:val="false"/>
        <w:b w:val="false"/>
        <w:szCs w:val="20"/>
        <w:rFonts w:ascii="Verdana" w:hAnsi="Verdana" w:cs="Arial"/>
        <w:color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lowerLetter"/>
      <w:lvlText w:val="%1)"/>
      <w:lvlJc w:val="left"/>
      <w:pPr>
        <w:tabs>
          <w:tab w:val="num" w:pos="720"/>
        </w:tabs>
        <w:ind w:left="720" w:hanging="360"/>
      </w:pPr>
      <w:rPr>
        <w:b/>
        <w:bCs/>
        <w:rFonts w:ascii="Verdana" w:hAnsi="Verdana"/>
      </w:rPr>
    </w:lvl>
    <w:lvl w:ilvl="1">
      <w:start w:val="1"/>
      <w:numFmt w:val="lowerLetter"/>
      <w:lvlText w:val="%2)"/>
      <w:lvlJc w:val="left"/>
      <w:pPr>
        <w:tabs>
          <w:tab w:val="num" w:pos="1080"/>
        </w:tabs>
        <w:ind w:left="1080" w:hanging="360"/>
      </w:pPr>
      <w:rPr>
        <w:b/>
        <w:bCs/>
        <w:rFonts w:ascii="Verdana" w:hAnsi="Verdana"/>
      </w:rPr>
    </w:lvl>
    <w:lvl w:ilvl="2">
      <w:start w:val="1"/>
      <w:numFmt w:val="lowerLetter"/>
      <w:lvlText w:val="%3)"/>
      <w:lvlJc w:val="left"/>
      <w:pPr>
        <w:tabs>
          <w:tab w:val="num" w:pos="1440"/>
        </w:tabs>
        <w:ind w:left="1440" w:hanging="360"/>
      </w:pPr>
      <w:rPr>
        <w:b/>
        <w:bCs/>
        <w:rFonts w:ascii="Verdana" w:hAnsi="Verdana"/>
      </w:rPr>
    </w:lvl>
    <w:lvl w:ilvl="3">
      <w:start w:val="1"/>
      <w:numFmt w:val="lowerLetter"/>
      <w:lvlText w:val="%4)"/>
      <w:lvlJc w:val="left"/>
      <w:pPr>
        <w:tabs>
          <w:tab w:val="num" w:pos="1800"/>
        </w:tabs>
        <w:ind w:left="1800" w:hanging="360"/>
      </w:pPr>
      <w:rPr>
        <w:b/>
        <w:bCs/>
        <w:rFonts w:ascii="Verdana" w:hAnsi="Verdana"/>
      </w:rPr>
    </w:lvl>
    <w:lvl w:ilvl="4">
      <w:start w:val="1"/>
      <w:numFmt w:val="lowerLetter"/>
      <w:lvlText w:val="%5)"/>
      <w:lvlJc w:val="left"/>
      <w:pPr>
        <w:tabs>
          <w:tab w:val="num" w:pos="2160"/>
        </w:tabs>
        <w:ind w:left="2160" w:hanging="360"/>
      </w:pPr>
      <w:rPr>
        <w:b/>
        <w:bCs/>
        <w:rFonts w:ascii="Verdana" w:hAnsi="Verdana"/>
      </w:rPr>
    </w:lvl>
    <w:lvl w:ilvl="5">
      <w:start w:val="1"/>
      <w:numFmt w:val="lowerLetter"/>
      <w:lvlText w:val="%6)"/>
      <w:lvlJc w:val="left"/>
      <w:pPr>
        <w:tabs>
          <w:tab w:val="num" w:pos="2520"/>
        </w:tabs>
        <w:ind w:left="2520" w:hanging="360"/>
      </w:pPr>
      <w:rPr>
        <w:b/>
        <w:bCs/>
        <w:rFonts w:ascii="Verdana" w:hAnsi="Verdana"/>
      </w:rPr>
    </w:lvl>
    <w:lvl w:ilvl="6">
      <w:start w:val="1"/>
      <w:numFmt w:val="lowerLetter"/>
      <w:lvlText w:val="%7)"/>
      <w:lvlJc w:val="left"/>
      <w:pPr>
        <w:tabs>
          <w:tab w:val="num" w:pos="2880"/>
        </w:tabs>
        <w:ind w:left="2880" w:hanging="360"/>
      </w:pPr>
      <w:rPr>
        <w:b/>
        <w:bCs/>
        <w:rFonts w:ascii="Verdana" w:hAnsi="Verdana"/>
      </w:rPr>
    </w:lvl>
    <w:lvl w:ilvl="7">
      <w:start w:val="1"/>
      <w:numFmt w:val="lowerLetter"/>
      <w:lvlText w:val="%8)"/>
      <w:lvlJc w:val="left"/>
      <w:pPr>
        <w:tabs>
          <w:tab w:val="num" w:pos="3240"/>
        </w:tabs>
        <w:ind w:left="3240" w:hanging="360"/>
      </w:pPr>
      <w:rPr>
        <w:b/>
        <w:bCs/>
        <w:rFonts w:ascii="Verdana" w:hAnsi="Verdana"/>
      </w:rPr>
    </w:lvl>
    <w:lvl w:ilvl="8">
      <w:start w:val="1"/>
      <w:numFmt w:val="lowerLetter"/>
      <w:lvlText w:val="%9)"/>
      <w:lvlJc w:val="left"/>
      <w:pPr>
        <w:tabs>
          <w:tab w:val="num" w:pos="3600"/>
        </w:tabs>
        <w:ind w:left="3600" w:hanging="360"/>
      </w:pPr>
      <w:rPr>
        <w:b/>
        <w:bCs/>
        <w:rFonts w:ascii="Verdana" w:hAnsi="Verdana"/>
      </w:r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00"/>
  <w:defaultTabStop w:val="708"/>
  <w:autoHyphenation w:val="true"/>
  <w:hyphenationZone w:val="425"/>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lang w:val="pt-BR" w:eastAsia="pt-BR"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overflowPunct w:val="false"/>
      <w:bidi w:val="0"/>
      <w:spacing w:before="0" w:after="0"/>
      <w:jc w:val="left"/>
      <w:textAlignment w:val="baseline"/>
    </w:pPr>
    <w:rPr>
      <w:rFonts w:ascii="Times New Roman" w:hAnsi="Times New Roman" w:eastAsia="Times New Roman" w:cs="Times New Roman"/>
      <w:color w:val="auto"/>
      <w:kern w:val="0"/>
      <w:sz w:val="20"/>
      <w:szCs w:val="20"/>
      <w:lang w:val="pt-BR" w:eastAsia="zh-CN" w:bidi="ar-SA"/>
    </w:rPr>
  </w:style>
  <w:style w:type="paragraph" w:styleId="Heading1">
    <w:name w:val="Heading 1"/>
    <w:basedOn w:val="Normal"/>
    <w:next w:val="Normal"/>
    <w:uiPriority w:val="9"/>
    <w:qFormat/>
    <w:pPr>
      <w:keepNext w:val="true"/>
      <w:numPr>
        <w:ilvl w:val="0"/>
        <w:numId w:val="2"/>
      </w:numPr>
      <w:overflowPunct w:val="true"/>
      <w:jc w:val="both"/>
      <w:textAlignment w:val="auto"/>
      <w:outlineLvl w:val="0"/>
    </w:pPr>
    <w:rPr>
      <w:sz w:val="24"/>
    </w:rPr>
  </w:style>
  <w:style w:type="paragraph" w:styleId="Heading2">
    <w:name w:val="Heading 2"/>
    <w:basedOn w:val="Normal"/>
    <w:next w:val="Normal"/>
    <w:uiPriority w:val="9"/>
    <w:unhideWhenUsed/>
    <w:qFormat/>
    <w:pPr>
      <w:keepNext w:val="true"/>
      <w:numPr>
        <w:ilvl w:val="1"/>
        <w:numId w:val="2"/>
      </w:numPr>
      <w:spacing w:before="240" w:after="60"/>
      <w:outlineLvl w:val="1"/>
    </w:pPr>
    <w:rPr>
      <w:rFonts w:ascii="Cambria" w:hAnsi="Cambria" w:cs="Cambria"/>
      <w:b/>
      <w:bCs/>
      <w:i/>
      <w:iCs/>
      <w:sz w:val="28"/>
      <w:szCs w:val="28"/>
    </w:rPr>
  </w:style>
  <w:style w:type="paragraph" w:styleId="Heading3">
    <w:name w:val="Heading 3"/>
    <w:basedOn w:val="Normal"/>
    <w:next w:val="Normal"/>
    <w:uiPriority w:val="9"/>
    <w:unhideWhenUsed/>
    <w:qFormat/>
    <w:pPr>
      <w:keepNext w:val="true"/>
      <w:numPr>
        <w:ilvl w:val="2"/>
        <w:numId w:val="2"/>
      </w:numPr>
      <w:tabs>
        <w:tab w:val="clear" w:pos="708"/>
        <w:tab w:val="left" w:pos="-414" w:leader="none"/>
        <w:tab w:val="left" w:pos="0" w:leader="none"/>
        <w:tab w:val="left" w:pos="306" w:leader="none"/>
        <w:tab w:val="left" w:pos="1026" w:leader="none"/>
        <w:tab w:val="left" w:pos="1530" w:leader="none"/>
        <w:tab w:val="left" w:pos="2262" w:leader="none"/>
        <w:tab w:val="left" w:pos="3000" w:leader="none"/>
        <w:tab w:val="left" w:pos="6066" w:leader="none"/>
        <w:tab w:val="left" w:pos="6786" w:leader="none"/>
        <w:tab w:val="left" w:pos="7506" w:leader="none"/>
        <w:tab w:val="left" w:pos="8226" w:leader="none"/>
        <w:tab w:val="left" w:pos="8946" w:leader="none"/>
        <w:tab w:val="left" w:pos="9666" w:leader="none"/>
      </w:tabs>
      <w:jc w:val="both"/>
      <w:outlineLvl w:val="2"/>
    </w:pPr>
    <w:rPr>
      <w:rFonts w:ascii="Arial" w:hAnsi="Arial" w:cs="Arial"/>
      <w:sz w:val="24"/>
    </w:rPr>
  </w:style>
  <w:style w:type="paragraph" w:styleId="Heading4">
    <w:name w:val="Heading 4"/>
    <w:basedOn w:val="Normal"/>
    <w:next w:val="Normal"/>
    <w:uiPriority w:val="9"/>
    <w:unhideWhenUsed/>
    <w:qFormat/>
    <w:pPr>
      <w:keepNext w:val="true"/>
      <w:numPr>
        <w:ilvl w:val="3"/>
        <w:numId w:val="2"/>
      </w:numPr>
      <w:overflowPunct w:val="true"/>
      <w:spacing w:before="240" w:after="60"/>
      <w:textAlignment w:val="auto"/>
      <w:outlineLvl w:val="3"/>
    </w:pPr>
    <w:rPr>
      <w:b/>
      <w:bCs/>
      <w:sz w:val="28"/>
      <w:szCs w:val="28"/>
    </w:rPr>
  </w:style>
  <w:style w:type="paragraph" w:styleId="Heading6">
    <w:name w:val="Heading 6"/>
    <w:basedOn w:val="Normal"/>
    <w:next w:val="Normal"/>
    <w:uiPriority w:val="9"/>
    <w:semiHidden/>
    <w:unhideWhenUsed/>
    <w:qFormat/>
    <w:pPr>
      <w:numPr>
        <w:ilvl w:val="5"/>
        <w:numId w:val="2"/>
      </w:numPr>
      <w:spacing w:before="240" w:after="60"/>
      <w:outlineLvl w:val="5"/>
    </w:pPr>
    <w:rPr>
      <w:b/>
      <w:bCs/>
      <w:sz w:val="22"/>
      <w:szCs w:val="22"/>
    </w:rPr>
  </w:style>
  <w:style w:type="paragraph" w:styleId="Heading7">
    <w:name w:val="Heading 7"/>
    <w:basedOn w:val="Normal"/>
    <w:next w:val="Normal"/>
    <w:qFormat/>
    <w:pPr>
      <w:numPr>
        <w:ilvl w:val="6"/>
        <w:numId w:val="2"/>
      </w:numPr>
      <w:spacing w:before="240" w:after="60"/>
      <w:outlineLvl w:val="6"/>
    </w:pPr>
    <w:rPr>
      <w:rFonts w:ascii="Calibri" w:hAnsi="Calibri" w:cs="Calibri"/>
      <w:sz w:val="24"/>
      <w:szCs w:val="24"/>
    </w:rPr>
  </w:style>
  <w:style w:type="paragraph" w:styleId="Heading8">
    <w:name w:val="Heading 8"/>
    <w:basedOn w:val="Normal"/>
    <w:next w:val="Normal"/>
    <w:qFormat/>
    <w:pPr>
      <w:numPr>
        <w:ilvl w:val="7"/>
        <w:numId w:val="2"/>
      </w:numPr>
      <w:spacing w:before="240" w:after="60"/>
      <w:outlineLvl w:val="7"/>
    </w:pPr>
    <w:rPr>
      <w:rFonts w:ascii="Calibri" w:hAnsi="Calibri" w:cs="Calibri"/>
      <w:i/>
      <w:iCs/>
      <w:sz w:val="24"/>
      <w:szCs w:val="24"/>
    </w:rPr>
  </w:style>
  <w:style w:type="character" w:styleId="DefaultParagraphFont" w:default="1">
    <w:name w:val="Default Paragraph Font"/>
    <w:uiPriority w:val="1"/>
    <w:semiHidden/>
    <w:unhideWhenUsed/>
    <w:qFormat/>
    <w:rPr/>
  </w:style>
  <w:style w:type="character" w:styleId="WW8Num2z0" w:customStyle="1">
    <w:name w:val="WW8Num2z0"/>
    <w:qFormat/>
    <w:rPr>
      <w:rFonts w:ascii="Arial" w:hAnsi="Arial" w:eastAsia="Batang;바탕" w:cs="Arial"/>
      <w:sz w:val="20"/>
      <w:szCs w:val="20"/>
    </w:rPr>
  </w:style>
  <w:style w:type="character" w:styleId="WW8Num3z0" w:customStyle="1">
    <w:name w:val="WW8Num3z0"/>
    <w:qFormat/>
    <w:rPr>
      <w:rFonts w:ascii="Arial" w:hAnsi="Arial" w:cs="Arial"/>
      <w:b/>
      <w:i w:val="false"/>
      <w:color w:val="000000"/>
      <w:sz w:val="24"/>
      <w:szCs w:val="24"/>
    </w:rPr>
  </w:style>
  <w:style w:type="character" w:styleId="WW8Num3z1" w:customStyle="1">
    <w:name w:val="WW8Num3z1"/>
    <w:qFormat/>
    <w:rPr>
      <w:rFonts w:ascii="Symbol" w:hAnsi="Symbol" w:cs="Symbol"/>
    </w:rPr>
  </w:style>
  <w:style w:type="character" w:styleId="WW8Num3z2" w:customStyle="1">
    <w:name w:val="WW8Num3z2"/>
    <w:qFormat/>
    <w:rPr>
      <w:rFonts w:ascii="Arial" w:hAnsi="Arial" w:cs="Arial"/>
      <w:b/>
      <w:i w:val="false"/>
      <w:color w:val="000000"/>
      <w:sz w:val="20"/>
      <w:szCs w:val="20"/>
    </w:rPr>
  </w:style>
  <w:style w:type="character" w:styleId="WW8Num4z0" w:customStyle="1">
    <w:name w:val="WW8Num4z0"/>
    <w:qFormat/>
    <w:rPr>
      <w:rFonts w:ascii="Arial" w:hAnsi="Arial" w:cs="Arial"/>
      <w:b/>
      <w:i w:val="false"/>
      <w:color w:val="000000"/>
      <w:sz w:val="20"/>
      <w:szCs w:val="20"/>
    </w:rPr>
  </w:style>
  <w:style w:type="character" w:styleId="WW8Num5z0" w:customStyle="1">
    <w:name w:val="WW8Num5z0"/>
    <w:qFormat/>
    <w:rPr>
      <w:rFonts w:ascii="Arial" w:hAnsi="Arial" w:cs="Arial"/>
      <w:b/>
      <w:sz w:val="20"/>
      <w:szCs w:val="20"/>
    </w:rPr>
  </w:style>
  <w:style w:type="character" w:styleId="WW8Num6z0" w:customStyle="1">
    <w:name w:val="WW8Num6z0"/>
    <w:qFormat/>
    <w:rPr>
      <w:rFonts w:ascii="Arial" w:hAnsi="Arial" w:cs="Arial"/>
      <w:b/>
      <w:i w:val="false"/>
      <w:spacing w:val="0"/>
      <w:kern w:val="2"/>
      <w:position w:val="0"/>
      <w:sz w:val="20"/>
      <w:sz w:val="20"/>
      <w:szCs w:val="20"/>
      <w:vertAlign w:val="baseline"/>
    </w:rPr>
  </w:style>
  <w:style w:type="character" w:styleId="WW8Num7z0" w:customStyle="1">
    <w:name w:val="WW8Num7z0"/>
    <w:qFormat/>
    <w:rPr>
      <w:rFonts w:ascii="Arial" w:hAnsi="Arial" w:cs="Arial"/>
      <w:b/>
      <w:i w:val="false"/>
      <w:spacing w:val="0"/>
      <w:kern w:val="2"/>
      <w:position w:val="0"/>
      <w:sz w:val="20"/>
      <w:sz w:val="20"/>
      <w:szCs w:val="20"/>
      <w:vertAlign w:val="baseline"/>
    </w:rPr>
  </w:style>
  <w:style w:type="character" w:styleId="WW8Num8z0" w:customStyle="1">
    <w:name w:val="WW8Num8z0"/>
    <w:qFormat/>
    <w:rPr>
      <w:rFonts w:ascii="Arial" w:hAnsi="Arial" w:eastAsia="Batang;바탕" w:cs="Arial"/>
      <w:b/>
      <w:sz w:val="20"/>
      <w:szCs w:val="20"/>
    </w:rPr>
  </w:style>
  <w:style w:type="character" w:styleId="WW8Num9z0" w:customStyle="1">
    <w:name w:val="WW8Num9z0"/>
    <w:qFormat/>
    <w:rPr>
      <w:rFonts w:ascii="Arial" w:hAnsi="Arial" w:eastAsia="Batang;바탕" w:cs="Arial"/>
      <w:b/>
      <w:i w:val="false"/>
      <w:spacing w:val="0"/>
      <w:kern w:val="2"/>
      <w:position w:val="0"/>
      <w:sz w:val="20"/>
      <w:sz w:val="20"/>
      <w:szCs w:val="20"/>
      <w:vertAlign w:val="baseline"/>
    </w:rPr>
  </w:style>
  <w:style w:type="character" w:styleId="WW8Num10z0" w:customStyle="1">
    <w:name w:val="WW8Num10z0"/>
    <w:qFormat/>
    <w:rPr>
      <w:b/>
    </w:rPr>
  </w:style>
  <w:style w:type="character" w:styleId="WW8Num10z1" w:customStyle="1">
    <w:name w:val="WW8Num10z1"/>
    <w:qFormat/>
    <w:rPr>
      <w:rFonts w:ascii="Verdana" w:hAnsi="Verdana" w:cs="Verdana"/>
      <w:b/>
      <w:bCs/>
      <w:i w:val="false"/>
      <w:strike w:val="false"/>
      <w:dstrike w:val="false"/>
      <w:color w:val="000000"/>
      <w:sz w:val="20"/>
      <w:szCs w:val="20"/>
      <w:u w:val="none"/>
    </w:rPr>
  </w:style>
  <w:style w:type="character" w:styleId="WW8Num10z2" w:customStyle="1">
    <w:name w:val="WW8Num10z2"/>
    <w:qFormat/>
    <w:rPr>
      <w:rFonts w:ascii="Verdana" w:hAnsi="Verdana" w:cs="Arial"/>
      <w:b w:val="false"/>
      <w:i w:val="false"/>
      <w:strike w:val="false"/>
      <w:dstrike w:val="false"/>
      <w:color w:val="000000"/>
      <w:sz w:val="20"/>
      <w:szCs w:val="20"/>
    </w:rPr>
  </w:style>
  <w:style w:type="character" w:styleId="WW8Num11z0" w:customStyle="1">
    <w:name w:val="WW8Num11z0"/>
    <w:qFormat/>
    <w:rPr>
      <w:rFonts w:ascii="Verdana" w:hAnsi="Verdana" w:cs="Verdana"/>
    </w:rPr>
  </w:style>
  <w:style w:type="character" w:styleId="Fontepargpadro2" w:customStyle="1">
    <w:name w:val="Fonte parág. padrão2"/>
    <w:qFormat/>
    <w:rPr/>
  </w:style>
  <w:style w:type="character" w:styleId="WW8Num1z0" w:customStyle="1">
    <w:name w:val="WW8Num1z0"/>
    <w:qFormat/>
    <w:rPr/>
  </w:style>
  <w:style w:type="character" w:styleId="WW8Num1z1" w:customStyle="1">
    <w:name w:val="WW8Num1z1"/>
    <w:qFormat/>
    <w:rPr/>
  </w:style>
  <w:style w:type="character" w:styleId="WW8Num1z2" w:customStyle="1">
    <w:name w:val="WW8Num1z2"/>
    <w:qFormat/>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WW8Num3z3" w:customStyle="1">
    <w:name w:val="WW8Num3z3"/>
    <w:qFormat/>
    <w:rPr/>
  </w:style>
  <w:style w:type="character" w:styleId="WW8Num3z4" w:customStyle="1">
    <w:name w:val="WW8Num3z4"/>
    <w:qFormat/>
    <w:rPr/>
  </w:style>
  <w:style w:type="character" w:styleId="WW8Num3z5" w:customStyle="1">
    <w:name w:val="WW8Num3z5"/>
    <w:qFormat/>
    <w:rPr/>
  </w:style>
  <w:style w:type="character" w:styleId="WW8Num3z6" w:customStyle="1">
    <w:name w:val="WW8Num3z6"/>
    <w:qFormat/>
    <w:rPr/>
  </w:style>
  <w:style w:type="character" w:styleId="WW8Num3z7" w:customStyle="1">
    <w:name w:val="WW8Num3z7"/>
    <w:qFormat/>
    <w:rPr/>
  </w:style>
  <w:style w:type="character" w:styleId="WW8Num3z8" w:customStyle="1">
    <w:name w:val="WW8Num3z8"/>
    <w:qFormat/>
    <w:rPr/>
  </w:style>
  <w:style w:type="character" w:styleId="WW8Num4z1" w:customStyle="1">
    <w:name w:val="WW8Num4z1"/>
    <w:qFormat/>
    <w:rPr/>
  </w:style>
  <w:style w:type="character" w:styleId="WW8Num4z2" w:customStyle="1">
    <w:name w:val="WW8Num4z2"/>
    <w:qFormat/>
    <w:rPr/>
  </w:style>
  <w:style w:type="character" w:styleId="WW8Num4z3" w:customStyle="1">
    <w:name w:val="WW8Num4z3"/>
    <w:qFormat/>
    <w:rPr/>
  </w:style>
  <w:style w:type="character" w:styleId="WW8Num4z4" w:customStyle="1">
    <w:name w:val="WW8Num4z4"/>
    <w:qFormat/>
    <w:rPr/>
  </w:style>
  <w:style w:type="character" w:styleId="WW8Num4z5" w:customStyle="1">
    <w:name w:val="WW8Num4z5"/>
    <w:qFormat/>
    <w:rPr/>
  </w:style>
  <w:style w:type="character" w:styleId="WW8Num4z6" w:customStyle="1">
    <w:name w:val="WW8Num4z6"/>
    <w:qFormat/>
    <w:rPr/>
  </w:style>
  <w:style w:type="character" w:styleId="WW8Num4z7" w:customStyle="1">
    <w:name w:val="WW8Num4z7"/>
    <w:qFormat/>
    <w:rPr/>
  </w:style>
  <w:style w:type="character" w:styleId="WW8Num4z8" w:customStyle="1">
    <w:name w:val="WW8Num4z8"/>
    <w:qFormat/>
    <w:rPr/>
  </w:style>
  <w:style w:type="character" w:styleId="WW8Num5z1" w:customStyle="1">
    <w:name w:val="WW8Num5z1"/>
    <w:qFormat/>
    <w:rPr>
      <w:rFonts w:ascii="Symbol" w:hAnsi="Symbol" w:cs="Symbol"/>
    </w:rPr>
  </w:style>
  <w:style w:type="character" w:styleId="WW8Num5z2" w:customStyle="1">
    <w:name w:val="WW8Num5z2"/>
    <w:qFormat/>
    <w:rPr>
      <w:rFonts w:ascii="Arial" w:hAnsi="Arial" w:cs="Arial"/>
      <w:b/>
      <w:i w:val="false"/>
      <w:color w:val="000000"/>
      <w:sz w:val="20"/>
      <w:szCs w:val="20"/>
    </w:rPr>
  </w:style>
  <w:style w:type="character" w:styleId="WW8Num5z3" w:customStyle="1">
    <w:name w:val="WW8Num5z3"/>
    <w:qFormat/>
    <w:rPr/>
  </w:style>
  <w:style w:type="character" w:styleId="WW8Num5z4" w:customStyle="1">
    <w:name w:val="WW8Num5z4"/>
    <w:qFormat/>
    <w:rPr/>
  </w:style>
  <w:style w:type="character" w:styleId="WW8Num5z5" w:customStyle="1">
    <w:name w:val="WW8Num5z5"/>
    <w:qFormat/>
    <w:rPr/>
  </w:style>
  <w:style w:type="character" w:styleId="WW8Num5z6" w:customStyle="1">
    <w:name w:val="WW8Num5z6"/>
    <w:qFormat/>
    <w:rPr/>
  </w:style>
  <w:style w:type="character" w:styleId="WW8Num5z7" w:customStyle="1">
    <w:name w:val="WW8Num5z7"/>
    <w:qFormat/>
    <w:rPr/>
  </w:style>
  <w:style w:type="character" w:styleId="WW8Num5z8" w:customStyle="1">
    <w:name w:val="WW8Num5z8"/>
    <w:qFormat/>
    <w:rPr/>
  </w:style>
  <w:style w:type="character" w:styleId="WW8Num6z1" w:customStyle="1">
    <w:name w:val="WW8Num6z1"/>
    <w:qFormat/>
    <w:rPr/>
  </w:style>
  <w:style w:type="character" w:styleId="WW8Num6z2" w:customStyle="1">
    <w:name w:val="WW8Num6z2"/>
    <w:qFormat/>
    <w:rPr/>
  </w:style>
  <w:style w:type="character" w:styleId="WW8Num6z3" w:customStyle="1">
    <w:name w:val="WW8Num6z3"/>
    <w:qFormat/>
    <w:rPr/>
  </w:style>
  <w:style w:type="character" w:styleId="WW8Num6z4" w:customStyle="1">
    <w:name w:val="WW8Num6z4"/>
    <w:qFormat/>
    <w:rPr/>
  </w:style>
  <w:style w:type="character" w:styleId="WW8Num6z5" w:customStyle="1">
    <w:name w:val="WW8Num6z5"/>
    <w:qFormat/>
    <w:rPr/>
  </w:style>
  <w:style w:type="character" w:styleId="WW8Num6z6" w:customStyle="1">
    <w:name w:val="WW8Num6z6"/>
    <w:qFormat/>
    <w:rPr/>
  </w:style>
  <w:style w:type="character" w:styleId="WW8Num6z7" w:customStyle="1">
    <w:name w:val="WW8Num6z7"/>
    <w:qFormat/>
    <w:rPr/>
  </w:style>
  <w:style w:type="character" w:styleId="WW8Num6z8" w:customStyle="1">
    <w:name w:val="WW8Num6z8"/>
    <w:qFormat/>
    <w:rPr/>
  </w:style>
  <w:style w:type="character" w:styleId="WW8Num8z1" w:customStyle="1">
    <w:name w:val="WW8Num8z1"/>
    <w:qFormat/>
    <w:rPr/>
  </w:style>
  <w:style w:type="character" w:styleId="WW8Num8z2" w:customStyle="1">
    <w:name w:val="WW8Num8z2"/>
    <w:qFormat/>
    <w:rPr/>
  </w:style>
  <w:style w:type="character" w:styleId="WW8Num8z3" w:customStyle="1">
    <w:name w:val="WW8Num8z3"/>
    <w:qFormat/>
    <w:rPr/>
  </w:style>
  <w:style w:type="character" w:styleId="WW8Num8z4" w:customStyle="1">
    <w:name w:val="WW8Num8z4"/>
    <w:qFormat/>
    <w:rPr/>
  </w:style>
  <w:style w:type="character" w:styleId="WW8Num8z5" w:customStyle="1">
    <w:name w:val="WW8Num8z5"/>
    <w:qFormat/>
    <w:rPr/>
  </w:style>
  <w:style w:type="character" w:styleId="WW8Num8z6" w:customStyle="1">
    <w:name w:val="WW8Num8z6"/>
    <w:qFormat/>
    <w:rPr/>
  </w:style>
  <w:style w:type="character" w:styleId="WW8Num8z7" w:customStyle="1">
    <w:name w:val="WW8Num8z7"/>
    <w:qFormat/>
    <w:rPr/>
  </w:style>
  <w:style w:type="character" w:styleId="WW8Num8z8" w:customStyle="1">
    <w:name w:val="WW8Num8z8"/>
    <w:qFormat/>
    <w:rPr/>
  </w:style>
  <w:style w:type="character" w:styleId="WW8Num9z1" w:customStyle="1">
    <w:name w:val="WW8Num9z1"/>
    <w:qFormat/>
    <w:rPr/>
  </w:style>
  <w:style w:type="character" w:styleId="WW8Num9z2" w:customStyle="1">
    <w:name w:val="WW8Num9z2"/>
    <w:qFormat/>
    <w:rPr/>
  </w:style>
  <w:style w:type="character" w:styleId="WW8Num9z3" w:customStyle="1">
    <w:name w:val="WW8Num9z3"/>
    <w:qFormat/>
    <w:rPr/>
  </w:style>
  <w:style w:type="character" w:styleId="WW8Num9z4" w:customStyle="1">
    <w:name w:val="WW8Num9z4"/>
    <w:qFormat/>
    <w:rPr/>
  </w:style>
  <w:style w:type="character" w:styleId="WW8Num9z5" w:customStyle="1">
    <w:name w:val="WW8Num9z5"/>
    <w:qFormat/>
    <w:rPr/>
  </w:style>
  <w:style w:type="character" w:styleId="WW8Num9z6" w:customStyle="1">
    <w:name w:val="WW8Num9z6"/>
    <w:qFormat/>
    <w:rPr/>
  </w:style>
  <w:style w:type="character" w:styleId="WW8Num9z7" w:customStyle="1">
    <w:name w:val="WW8Num9z7"/>
    <w:qFormat/>
    <w:rPr/>
  </w:style>
  <w:style w:type="character" w:styleId="WW8Num9z8" w:customStyle="1">
    <w:name w:val="WW8Num9z8"/>
    <w:qFormat/>
    <w:rPr/>
  </w:style>
  <w:style w:type="character" w:styleId="WW8Num10z3" w:customStyle="1">
    <w:name w:val="WW8Num10z3"/>
    <w:qFormat/>
    <w:rPr/>
  </w:style>
  <w:style w:type="character" w:styleId="WW8Num10z4" w:customStyle="1">
    <w:name w:val="WW8Num10z4"/>
    <w:qFormat/>
    <w:rPr/>
  </w:style>
  <w:style w:type="character" w:styleId="WW8Num10z5" w:customStyle="1">
    <w:name w:val="WW8Num10z5"/>
    <w:qFormat/>
    <w:rPr/>
  </w:style>
  <w:style w:type="character" w:styleId="WW8Num10z6" w:customStyle="1">
    <w:name w:val="WW8Num10z6"/>
    <w:qFormat/>
    <w:rPr/>
  </w:style>
  <w:style w:type="character" w:styleId="WW8Num10z7" w:customStyle="1">
    <w:name w:val="WW8Num10z7"/>
    <w:qFormat/>
    <w:rPr/>
  </w:style>
  <w:style w:type="character" w:styleId="WW8Num10z8" w:customStyle="1">
    <w:name w:val="WW8Num10z8"/>
    <w:qFormat/>
    <w:rPr/>
  </w:style>
  <w:style w:type="character" w:styleId="WW8Num11z1" w:customStyle="1">
    <w:name w:val="WW8Num11z1"/>
    <w:qFormat/>
    <w:rPr>
      <w:rFonts w:ascii="Courier New" w:hAnsi="Courier New" w:cs="Courier New"/>
    </w:rPr>
  </w:style>
  <w:style w:type="character" w:styleId="WW8Num11z2" w:customStyle="1">
    <w:name w:val="WW8Num11z2"/>
    <w:qFormat/>
    <w:rPr>
      <w:rFonts w:ascii="Wingdings" w:hAnsi="Wingdings" w:cs="Wingdings"/>
    </w:rPr>
  </w:style>
  <w:style w:type="character" w:styleId="WW8Num12z0" w:customStyle="1">
    <w:name w:val="WW8Num12z0"/>
    <w:qFormat/>
    <w:rPr>
      <w:rFonts w:ascii="Arial" w:hAnsi="Arial" w:cs="Arial"/>
      <w:b/>
      <w:i w:val="false"/>
      <w:spacing w:val="0"/>
      <w:kern w:val="2"/>
      <w:position w:val="0"/>
      <w:sz w:val="20"/>
      <w:sz w:val="20"/>
      <w:szCs w:val="20"/>
      <w:vertAlign w:val="baseline"/>
    </w:rPr>
  </w:style>
  <w:style w:type="character" w:styleId="WW8Num12z1" w:customStyle="1">
    <w:name w:val="WW8Num12z1"/>
    <w:qFormat/>
    <w:rPr/>
  </w:style>
  <w:style w:type="character" w:styleId="WW8Num12z2" w:customStyle="1">
    <w:name w:val="WW8Num12z2"/>
    <w:qFormat/>
    <w:rPr/>
  </w:style>
  <w:style w:type="character" w:styleId="WW8Num12z3" w:customStyle="1">
    <w:name w:val="WW8Num12z3"/>
    <w:qFormat/>
    <w:rPr/>
  </w:style>
  <w:style w:type="character" w:styleId="WW8Num12z4" w:customStyle="1">
    <w:name w:val="WW8Num12z4"/>
    <w:qFormat/>
    <w:rPr/>
  </w:style>
  <w:style w:type="character" w:styleId="WW8Num12z5" w:customStyle="1">
    <w:name w:val="WW8Num12z5"/>
    <w:qFormat/>
    <w:rPr/>
  </w:style>
  <w:style w:type="character" w:styleId="WW8Num12z6" w:customStyle="1">
    <w:name w:val="WW8Num12z6"/>
    <w:qFormat/>
    <w:rPr/>
  </w:style>
  <w:style w:type="character" w:styleId="WW8Num12z7" w:customStyle="1">
    <w:name w:val="WW8Num12z7"/>
    <w:qFormat/>
    <w:rPr/>
  </w:style>
  <w:style w:type="character" w:styleId="WW8Num12z8" w:customStyle="1">
    <w:name w:val="WW8Num12z8"/>
    <w:qFormat/>
    <w:rPr/>
  </w:style>
  <w:style w:type="character" w:styleId="Fontepargpadro1" w:customStyle="1">
    <w:name w:val="Fonte parág. padrão1"/>
    <w:qFormat/>
    <w:rPr/>
  </w:style>
  <w:style w:type="character" w:styleId="PageNumber">
    <w:name w:val="Page Number"/>
    <w:basedOn w:val="Fontepargpadro1"/>
    <w:qFormat/>
    <w:rPr/>
  </w:style>
  <w:style w:type="character" w:styleId="Ttulo1Char" w:customStyle="1">
    <w:name w:val="Título 1 Char"/>
    <w:qFormat/>
    <w:rPr>
      <w:sz w:val="24"/>
    </w:rPr>
  </w:style>
  <w:style w:type="character" w:styleId="CabealhoChar" w:customStyle="1">
    <w:name w:val="Cabeçalho Char"/>
    <w:basedOn w:val="Fontepargpadro1"/>
    <w:qFormat/>
    <w:rPr/>
  </w:style>
  <w:style w:type="character" w:styleId="Hyperlink1" w:customStyle="1">
    <w:name w:val="Hyperlink1"/>
    <w:qFormat/>
    <w:rsid w:val="003c1c24"/>
    <w:rPr>
      <w:color w:val="000080"/>
      <w:u w:val="single"/>
    </w:rPr>
  </w:style>
  <w:style w:type="character" w:styleId="Ttulo8Char" w:customStyle="1">
    <w:name w:val="Título 8 Char"/>
    <w:qFormat/>
    <w:rPr>
      <w:rFonts w:ascii="Calibri" w:hAnsi="Calibri" w:eastAsia="Times New Roman" w:cs="Times New Roman"/>
      <w:i/>
      <w:iCs/>
      <w:sz w:val="24"/>
      <w:szCs w:val="24"/>
    </w:rPr>
  </w:style>
  <w:style w:type="character" w:styleId="Ttulo6Char" w:customStyle="1">
    <w:name w:val="Título 6 Char"/>
    <w:qFormat/>
    <w:rPr>
      <w:b/>
      <w:bCs/>
      <w:sz w:val="22"/>
      <w:szCs w:val="22"/>
    </w:rPr>
  </w:style>
  <w:style w:type="character" w:styleId="Ttulo2Char" w:customStyle="1">
    <w:name w:val="Título 2 Char"/>
    <w:qFormat/>
    <w:rPr>
      <w:rFonts w:ascii="Cambria" w:hAnsi="Cambria" w:eastAsia="Times New Roman" w:cs="Times New Roman"/>
      <w:b/>
      <w:bCs/>
      <w:i/>
      <w:iCs/>
      <w:sz w:val="28"/>
      <w:szCs w:val="28"/>
    </w:rPr>
  </w:style>
  <w:style w:type="character" w:styleId="Ttulo4Char" w:customStyle="1">
    <w:name w:val="Título 4 Char"/>
    <w:qFormat/>
    <w:rPr>
      <w:b/>
      <w:bCs/>
      <w:sz w:val="28"/>
      <w:szCs w:val="28"/>
    </w:rPr>
  </w:style>
  <w:style w:type="character" w:styleId="Corpodetexto3Char" w:customStyle="1">
    <w:name w:val="Corpo de texto 3 Char"/>
    <w:qFormat/>
    <w:rPr>
      <w:rFonts w:ascii="Arial" w:hAnsi="Arial" w:cs="Arial"/>
      <w:sz w:val="22"/>
    </w:rPr>
  </w:style>
  <w:style w:type="character" w:styleId="CorpodetextoChar" w:customStyle="1">
    <w:name w:val="Corpo de texto Char"/>
    <w:basedOn w:val="Fontepargpadro1"/>
    <w:qFormat/>
    <w:rPr/>
  </w:style>
  <w:style w:type="character" w:styleId="Corpodetexto2Char" w:customStyle="1">
    <w:name w:val="Corpo de texto 2 Char"/>
    <w:qFormat/>
    <w:rPr>
      <w:rFonts w:ascii="Arial" w:hAnsi="Arial" w:cs="Arial"/>
      <w:b/>
      <w:sz w:val="22"/>
    </w:rPr>
  </w:style>
  <w:style w:type="character" w:styleId="Recuodecorpodetexto3Char" w:customStyle="1">
    <w:name w:val="Recuo de corpo de texto 3 Char"/>
    <w:qFormat/>
    <w:rPr>
      <w:sz w:val="16"/>
      <w:szCs w:val="16"/>
    </w:rPr>
  </w:style>
  <w:style w:type="character" w:styleId="Refdecomentrio1" w:customStyle="1">
    <w:name w:val="Ref. de comentário1"/>
    <w:qFormat/>
    <w:rPr>
      <w:sz w:val="16"/>
      <w:szCs w:val="16"/>
    </w:rPr>
  </w:style>
  <w:style w:type="character" w:styleId="TextodecomentrioChar" w:customStyle="1">
    <w:name w:val="Texto de comentário Char"/>
    <w:qFormat/>
    <w:rPr/>
  </w:style>
  <w:style w:type="character" w:styleId="TextodebaloChar" w:customStyle="1">
    <w:name w:val="Texto de balão Char"/>
    <w:qFormat/>
    <w:rPr>
      <w:rFonts w:ascii="Tahoma" w:hAnsi="Tahoma" w:cs="Tahoma"/>
      <w:sz w:val="16"/>
      <w:szCs w:val="16"/>
    </w:rPr>
  </w:style>
  <w:style w:type="character" w:styleId="AssuntodocomentrioChar" w:customStyle="1">
    <w:name w:val="Assunto do comentário Char"/>
    <w:qFormat/>
    <w:rPr>
      <w:b/>
      <w:bCs/>
    </w:rPr>
  </w:style>
  <w:style w:type="character" w:styleId="Ttulo7Char" w:customStyle="1">
    <w:name w:val="Título 7 Char"/>
    <w:qFormat/>
    <w:rPr>
      <w:rFonts w:ascii="Calibri" w:hAnsi="Calibri" w:eastAsia="Times New Roman" w:cs="Times New Roman"/>
      <w:sz w:val="24"/>
      <w:szCs w:val="24"/>
    </w:rPr>
  </w:style>
  <w:style w:type="character" w:styleId="RodapChar" w:customStyle="1">
    <w:name w:val="Rodapé Char"/>
    <w:basedOn w:val="Fontepargpadro1"/>
    <w:qFormat/>
    <w:rPr/>
  </w:style>
  <w:style w:type="character" w:styleId="apple-converted-space" w:customStyle="1">
    <w:name w:val="apple-converted-space"/>
    <w:basedOn w:val="Fontepargpadro1"/>
    <w:qFormat/>
    <w:rPr/>
  </w:style>
  <w:style w:type="character" w:styleId="Smbolosdenumerao" w:customStyle="1">
    <w:name w:val="Símbolos de numeração"/>
    <w:qFormat/>
    <w:rPr>
      <w:rFonts w:ascii="Verdana" w:hAnsi="Verdana"/>
      <w:b/>
      <w:bCs/>
    </w:rPr>
  </w:style>
  <w:style w:type="character" w:styleId="Strong">
    <w:name w:val="Strong"/>
    <w:qFormat/>
    <w:rPr>
      <w:b/>
      <w:bCs/>
    </w:rPr>
  </w:style>
  <w:style w:type="character" w:styleId="annotationreference">
    <w:name w:val="annotation reference"/>
    <w:qFormat/>
    <w:rPr>
      <w:sz w:val="16"/>
      <w:szCs w:val="16"/>
    </w:rPr>
  </w:style>
  <w:style w:type="character" w:styleId="TextodecomentrioChar1" w:customStyle="1">
    <w:name w:val="Texto de comentário Char1"/>
    <w:qFormat/>
    <w:rPr>
      <w:lang w:eastAsia="zh-CN"/>
    </w:rPr>
  </w:style>
  <w:style w:type="character" w:styleId="Nivel2Char" w:customStyle="1">
    <w:name w:val="Nivel 2 Char"/>
    <w:qFormat/>
    <w:rPr>
      <w:rFonts w:ascii="Arial" w:hAnsi="Arial" w:eastAsia="MS Mincho;ＭＳ 明朝" w:cs="Arial"/>
      <w:color w:val="000000"/>
    </w:rPr>
  </w:style>
  <w:style w:type="character" w:styleId="Nivel3Char" w:customStyle="1">
    <w:name w:val="Nivel 3 Char"/>
    <w:qFormat/>
    <w:rPr>
      <w:rFonts w:ascii="Arial" w:hAnsi="Arial" w:eastAsia="MS Mincho;ＭＳ 明朝" w:cs="Arial"/>
      <w:color w:val="000000"/>
    </w:rPr>
  </w:style>
  <w:style w:type="character" w:styleId="InternetLink">
    <w:name w:val="Internet Link"/>
    <w:qFormat/>
    <w:rPr>
      <w:color w:val="000080"/>
      <w:u w:val="single"/>
    </w:rPr>
  </w:style>
  <w:style w:type="character" w:styleId="InternetLink1">
    <w:name w:val="Internet Link1"/>
    <w:qFormat/>
    <w:rPr>
      <w:color w:val="000080"/>
      <w:u w:val="single"/>
    </w:rPr>
  </w:style>
  <w:style w:type="character" w:styleId="InternetLink2">
    <w:name w:val="Internet Link2"/>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tLeast" w:line="240"/>
      <w:jc w:val="both"/>
    </w:pPr>
    <w:rPr>
      <w:sz w:val="24"/>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customStyle="1">
    <w:name w:val="Índice"/>
    <w:basedOn w:val="Normal"/>
    <w:qFormat/>
    <w:pPr>
      <w:suppressLineNumbers/>
    </w:pPr>
    <w:rPr>
      <w:rFonts w:cs="Arial"/>
    </w:rPr>
  </w:style>
  <w:style w:type="paragraph" w:styleId="Title">
    <w:name w:val="Title"/>
    <w:basedOn w:val="Normal"/>
    <w:next w:val="BodyText"/>
    <w:uiPriority w:val="10"/>
    <w:qFormat/>
    <w:pPr>
      <w:keepNext w:val="true"/>
      <w:spacing w:before="240" w:after="120"/>
    </w:pPr>
    <w:rPr>
      <w:rFonts w:ascii="Liberation Sans;Arial" w:hAnsi="Liberation Sans;Arial" w:eastAsia="Microsoft YaHei" w:cs="Arial"/>
      <w:sz w:val="28"/>
      <w:szCs w:val="28"/>
    </w:rPr>
  </w:style>
  <w:style w:type="paragraph" w:styleId="caption1" w:customStyle="1">
    <w:name w:val="caption1"/>
    <w:basedOn w:val="Normal"/>
    <w:qFormat/>
    <w:pPr>
      <w:suppressLineNumbers/>
      <w:spacing w:before="120" w:after="120"/>
    </w:pPr>
    <w:rPr>
      <w:rFonts w:cs="Arial"/>
      <w:i/>
      <w:iCs/>
      <w:sz w:val="24"/>
      <w:szCs w:val="24"/>
    </w:rPr>
  </w:style>
  <w:style w:type="paragraph" w:styleId="Ttulo2" w:customStyle="1">
    <w:name w:val="Título2"/>
    <w:basedOn w:val="Normal"/>
    <w:next w:val="BodyText"/>
    <w:qFormat/>
    <w:pPr>
      <w:keepNext w:val="true"/>
      <w:spacing w:before="240" w:after="120"/>
    </w:pPr>
    <w:rPr>
      <w:rFonts w:ascii="Liberation Sans;Arial" w:hAnsi="Liberation Sans;Arial" w:eastAsia="Microsoft YaHei" w:cs="Arial"/>
      <w:sz w:val="28"/>
      <w:szCs w:val="28"/>
    </w:rPr>
  </w:style>
  <w:style w:type="paragraph" w:styleId="Ttulo1" w:customStyle="1">
    <w:name w:val="Título1"/>
    <w:basedOn w:val="Normal"/>
    <w:next w:val="BodyText"/>
    <w:qFormat/>
    <w:pPr>
      <w:jc w:val="center"/>
    </w:pPr>
    <w:rPr>
      <w:rFonts w:ascii="Arial" w:hAnsi="Arial" w:cs="Arial"/>
      <w:b/>
      <w:sz w:val="22"/>
    </w:rPr>
  </w:style>
  <w:style w:type="paragraph" w:styleId="BodyText2">
    <w:name w:val="Body Text 2"/>
    <w:basedOn w:val="Normal"/>
    <w:qFormat/>
    <w:pPr>
      <w:widowControl w:val="false"/>
      <w:spacing w:lineRule="auto" w:line="360"/>
      <w:ind w:firstLine="239"/>
      <w:jc w:val="both"/>
    </w:pPr>
    <w:rPr>
      <w:sz w:val="22"/>
    </w:rPr>
  </w:style>
  <w:style w:type="paragraph" w:styleId="Corpodetexto31" w:customStyle="1">
    <w:name w:val="Corpo de texto 31"/>
    <w:basedOn w:val="Normal"/>
    <w:qFormat/>
    <w:pPr>
      <w:tabs>
        <w:tab w:val="clear" w:pos="708"/>
        <w:tab w:val="left" w:pos="-414" w:leader="none"/>
        <w:tab w:val="left" w:pos="0" w:leader="none"/>
        <w:tab w:val="left" w:pos="306" w:leader="none"/>
        <w:tab w:val="left" w:pos="1026" w:leader="none"/>
        <w:tab w:val="left" w:pos="1530" w:leader="none"/>
        <w:tab w:val="left" w:pos="2262" w:leader="none"/>
        <w:tab w:val="left" w:pos="2664" w:leader="none"/>
        <w:tab w:val="left" w:pos="3228" w:leader="none"/>
        <w:tab w:val="left" w:pos="6066" w:leader="none"/>
        <w:tab w:val="left" w:pos="6786" w:leader="none"/>
        <w:tab w:val="left" w:pos="7506" w:leader="none"/>
        <w:tab w:val="left" w:pos="8226" w:leader="none"/>
        <w:tab w:val="left" w:pos="8946" w:leader="none"/>
        <w:tab w:val="left" w:pos="9666" w:leader="none"/>
      </w:tabs>
      <w:jc w:val="both"/>
    </w:pPr>
    <w:rPr>
      <w:rFonts w:ascii="Arial" w:hAnsi="Arial" w:cs="Arial"/>
      <w:sz w:val="22"/>
    </w:rPr>
  </w:style>
  <w:style w:type="paragraph" w:styleId="Corpodetexto22" w:customStyle="1">
    <w:name w:val="Corpo de texto 22"/>
    <w:basedOn w:val="Normal"/>
    <w:qFormat/>
    <w:pPr>
      <w:tabs>
        <w:tab w:val="clear" w:pos="708"/>
        <w:tab w:val="left" w:pos="851" w:leader="none"/>
      </w:tabs>
      <w:jc w:val="both"/>
    </w:pPr>
    <w:rPr>
      <w:rFonts w:ascii="Arial" w:hAnsi="Arial" w:cs="Arial"/>
      <w:b/>
      <w:sz w:val="22"/>
    </w:rPr>
  </w:style>
  <w:style w:type="paragraph" w:styleId="CabealhoeRodap" w:customStyle="1">
    <w:name w:val="Cabeçalho e Rodapé"/>
    <w:basedOn w:val="Normal"/>
    <w:qFormat/>
    <w:pPr>
      <w:suppressLineNumbers/>
      <w:tabs>
        <w:tab w:val="clear" w:pos="708"/>
        <w:tab w:val="center" w:pos="4819" w:leader="none"/>
        <w:tab w:val="right" w:pos="9638" w:leader="none"/>
      </w:tabs>
    </w:pPr>
    <w:rPr/>
  </w:style>
  <w:style w:type="paragraph" w:styleId="Cabealhoerodap1">
    <w:name w:val="Cabeçalho e rodapé1"/>
    <w:basedOn w:val="Normal"/>
    <w:qFormat/>
    <w:pPr/>
    <w:rPr/>
  </w:style>
  <w:style w:type="paragraph" w:styleId="Cabealhoerodap2">
    <w:name w:val="Cabeçalho e rodapé2"/>
    <w:basedOn w:val="Normal"/>
    <w:qFormat/>
    <w:pPr/>
    <w:rPr/>
  </w:style>
  <w:style w:type="paragraph" w:styleId="Cabealhoerodap3">
    <w:name w:val="Cabeçalho e rodapé3"/>
    <w:basedOn w:val="Normal"/>
    <w:qFormat/>
    <w:pPr/>
    <w:rPr/>
  </w:style>
  <w:style w:type="paragraph" w:styleId="Cabealhoerodap4">
    <w:name w:val="Cabeçalho e rodapé4"/>
    <w:basedOn w:val="Normal"/>
    <w:qFormat/>
    <w:pPr/>
    <w:rPr/>
  </w:style>
  <w:style w:type="paragraph" w:styleId="Header">
    <w:name w:val="Header"/>
    <w:basedOn w:val="Normal"/>
    <w:pPr>
      <w:tabs>
        <w:tab w:val="clear" w:pos="708"/>
        <w:tab w:val="center" w:pos="4419" w:leader="none"/>
        <w:tab w:val="right" w:pos="8838" w:leader="none"/>
      </w:tabs>
    </w:pPr>
    <w:rPr/>
  </w:style>
  <w:style w:type="paragraph" w:styleId="Subtitle">
    <w:name w:val="Subtitle"/>
    <w:basedOn w:val="Normal"/>
    <w:next w:val="BodyText"/>
    <w:uiPriority w:val="11"/>
    <w:qFormat/>
    <w:pPr>
      <w:overflowPunct w:val="true"/>
      <w:ind w:firstLine="708"/>
      <w:jc w:val="center"/>
      <w:textAlignment w:val="auto"/>
    </w:pPr>
    <w:rPr>
      <w:smallCaps/>
      <w:shadow/>
      <w:sz w:val="36"/>
      <w:szCs w:val="24"/>
    </w:rPr>
  </w:style>
  <w:style w:type="paragraph" w:styleId="Footer">
    <w:name w:val="Footer"/>
    <w:basedOn w:val="Normal"/>
    <w:pPr>
      <w:tabs>
        <w:tab w:val="clear" w:pos="708"/>
        <w:tab w:val="center" w:pos="4419" w:leader="none"/>
        <w:tab w:val="right" w:pos="8838" w:leader="none"/>
      </w:tabs>
    </w:pPr>
    <w:rPr/>
  </w:style>
  <w:style w:type="paragraph" w:styleId="Corpodetexto1" w:customStyle="1">
    <w:name w:val="Corpo de texto1"/>
    <w:basedOn w:val="Normal"/>
    <w:qFormat/>
    <w:pPr>
      <w:spacing w:before="0" w:after="120"/>
    </w:pPr>
    <w:rPr/>
  </w:style>
  <w:style w:type="paragraph" w:styleId="ListParagraph">
    <w:name w:val="List Paragraph"/>
    <w:basedOn w:val="Normal"/>
    <w:qFormat/>
    <w:pPr>
      <w:ind w:left="708"/>
    </w:pPr>
    <w:rPr/>
  </w:style>
  <w:style w:type="paragraph" w:styleId="Contedodatabela" w:customStyle="1">
    <w:name w:val="Conteúdo da tabela"/>
    <w:basedOn w:val="Normal"/>
    <w:qFormat/>
    <w:pPr>
      <w:widowControl w:val="false"/>
      <w:suppressLineNumbers/>
      <w:overflowPunct w:val="true"/>
      <w:spacing w:before="0" w:after="120"/>
      <w:textAlignment w:val="auto"/>
    </w:pPr>
    <w:rPr>
      <w:rFonts w:eastAsia="Lucida Sans Unicode"/>
      <w:color w:val="000000"/>
      <w:sz w:val="24"/>
      <w:szCs w:val="24"/>
      <w:lang w:val="pt-PT"/>
    </w:rPr>
  </w:style>
  <w:style w:type="paragraph" w:styleId="Normal1" w:customStyle="1">
    <w:name w:val="Normal1"/>
    <w:basedOn w:val="Normal"/>
    <w:qFormat/>
    <w:pPr>
      <w:widowControl w:val="false"/>
      <w:overflowPunct w:val="true"/>
      <w:textAlignment w:val="auto"/>
    </w:pPr>
    <w:rPr>
      <w:rFonts w:eastAsia="Lucida Sans Unicode"/>
      <w:color w:val="000000"/>
      <w:szCs w:val="24"/>
    </w:rPr>
  </w:style>
  <w:style w:type="paragraph" w:styleId="WW-Corpodetexto3" w:customStyle="1">
    <w:name w:val="WW-Corpo de texto 3"/>
    <w:basedOn w:val="Normal"/>
    <w:qFormat/>
    <w:pPr>
      <w:widowControl w:val="false"/>
      <w:overflowPunct w:val="true"/>
      <w:spacing w:lineRule="auto" w:line="360"/>
      <w:jc w:val="both"/>
      <w:textAlignment w:val="auto"/>
    </w:pPr>
    <w:rPr>
      <w:rFonts w:ascii="Arial" w:hAnsi="Arial" w:eastAsia="Lucida Sans Unicode" w:cs="Arial"/>
      <w:color w:val="000000"/>
      <w:sz w:val="24"/>
      <w:szCs w:val="24"/>
      <w:lang w:val="pt-PT"/>
    </w:rPr>
  </w:style>
  <w:style w:type="paragraph" w:styleId="Ttulo41" w:customStyle="1">
    <w:name w:val="Título 41"/>
    <w:basedOn w:val="Normal1"/>
    <w:next w:val="Normal1"/>
    <w:qFormat/>
    <w:pPr>
      <w:keepNext w:val="true"/>
      <w:tabs>
        <w:tab w:val="clear" w:pos="708"/>
        <w:tab w:val="left" w:pos="0" w:leader="none"/>
      </w:tabs>
    </w:pPr>
    <w:rPr>
      <w:b/>
      <w:sz w:val="22"/>
    </w:rPr>
  </w:style>
  <w:style w:type="paragraph" w:styleId="Ttulo91" w:customStyle="1">
    <w:name w:val="Título 91"/>
    <w:basedOn w:val="Normal1"/>
    <w:next w:val="Normal1"/>
    <w:qFormat/>
    <w:pPr>
      <w:keepNext w:val="true"/>
      <w:tabs>
        <w:tab w:val="clear" w:pos="708"/>
        <w:tab w:val="left" w:pos="0" w:leader="none"/>
      </w:tabs>
      <w:ind w:firstLine="851"/>
      <w:jc w:val="both"/>
    </w:pPr>
    <w:rPr>
      <w:b/>
      <w:sz w:val="24"/>
    </w:rPr>
  </w:style>
  <w:style w:type="paragraph" w:styleId="Recuodecorpodetexto31" w:customStyle="1">
    <w:name w:val="Recuo de corpo de texto 31"/>
    <w:basedOn w:val="Normal"/>
    <w:qFormat/>
    <w:pPr>
      <w:spacing w:before="0" w:after="120"/>
      <w:ind w:left="283"/>
    </w:pPr>
    <w:rPr>
      <w:sz w:val="16"/>
      <w:szCs w:val="16"/>
    </w:rPr>
  </w:style>
  <w:style w:type="paragraph" w:styleId="Corpodetexto21" w:customStyle="1">
    <w:name w:val="Corpo de texto 21"/>
    <w:basedOn w:val="Normal"/>
    <w:qFormat/>
    <w:pPr>
      <w:overflowPunct w:val="true"/>
      <w:spacing w:lineRule="auto" w:line="480" w:before="0" w:after="120"/>
      <w:textAlignment w:val="auto"/>
    </w:pPr>
    <w:rPr>
      <w:kern w:val="2"/>
    </w:rPr>
  </w:style>
  <w:style w:type="paragraph" w:styleId="Default" w:customStyle="1">
    <w:name w:val="Default"/>
    <w:qFormat/>
    <w:pPr>
      <w:widowControl/>
      <w:suppressAutoHyphens w:val="true"/>
      <w:bidi w:val="0"/>
      <w:spacing w:before="0" w:after="0"/>
      <w:jc w:val="left"/>
    </w:pPr>
    <w:rPr>
      <w:rFonts w:ascii="Times New Roman" w:hAnsi="Times New Roman" w:eastAsia="Times New Roman" w:cs="Times New Roman"/>
      <w:color w:val="000000"/>
      <w:kern w:val="2"/>
      <w:sz w:val="24"/>
      <w:szCs w:val="24"/>
      <w:lang w:val="pt-BR" w:eastAsia="zh-CN" w:bidi="ar-SA"/>
    </w:rPr>
  </w:style>
  <w:style w:type="paragraph" w:styleId="Standard" w:customStyle="1">
    <w:name w:val="Standard"/>
    <w:qFormat/>
    <w:pPr>
      <w:widowControl w:val="false"/>
      <w:suppressAutoHyphens w:val="true"/>
      <w:bidi w:val="0"/>
      <w:spacing w:before="0" w:after="0"/>
      <w:jc w:val="left"/>
      <w:textAlignment w:val="baseline"/>
    </w:pPr>
    <w:rPr>
      <w:rFonts w:ascii="Times New Roman" w:hAnsi="Times New Roman" w:eastAsia="Arial Unicode MS" w:cs="Tahoma"/>
      <w:color w:val="auto"/>
      <w:kern w:val="2"/>
      <w:sz w:val="24"/>
      <w:szCs w:val="24"/>
      <w:lang w:val="pt-BR" w:eastAsia="zh-CN" w:bidi="hi-IN"/>
    </w:rPr>
  </w:style>
  <w:style w:type="paragraph" w:styleId="Textodecomentrio1" w:customStyle="1">
    <w:name w:val="Texto de comentário1"/>
    <w:basedOn w:val="Normal"/>
    <w:qFormat/>
    <w:pPr>
      <w:overflowPunct w:val="true"/>
      <w:textAlignment w:val="auto"/>
    </w:pPr>
    <w:rPr/>
  </w:style>
  <w:style w:type="paragraph" w:styleId="BalloonText">
    <w:name w:val="Balloon Text"/>
    <w:basedOn w:val="Normal"/>
    <w:qFormat/>
    <w:pPr/>
    <w:rPr>
      <w:rFonts w:ascii="Tahoma" w:hAnsi="Tahoma" w:cs="Tahoma"/>
      <w:sz w:val="16"/>
      <w:szCs w:val="16"/>
    </w:rPr>
  </w:style>
  <w:style w:type="paragraph" w:styleId="annotationsubject">
    <w:name w:val="annotation subject"/>
    <w:basedOn w:val="Textodecomentrio1"/>
    <w:next w:val="Textodecomentrio1"/>
    <w:qFormat/>
    <w:pPr>
      <w:suppressAutoHyphens w:val="false"/>
      <w:overflowPunct w:val="false"/>
      <w:textAlignment w:val="baseline"/>
    </w:pPr>
    <w:rPr>
      <w:b/>
      <w:bCs/>
    </w:rPr>
  </w:style>
  <w:style w:type="paragraph" w:styleId="Ttulodetabela" w:customStyle="1">
    <w:name w:val="Título de tabela"/>
    <w:basedOn w:val="Contedodatabela"/>
    <w:qFormat/>
    <w:pPr>
      <w:jc w:val="center"/>
    </w:pPr>
    <w:rPr>
      <w:b/>
      <w:bCs/>
    </w:rPr>
  </w:style>
  <w:style w:type="paragraph" w:styleId="AnnotationText">
    <w:name w:val="Annotation Text"/>
    <w:basedOn w:val="Normal"/>
    <w:qFormat/>
    <w:pPr>
      <w:suppressAutoHyphens w:val="false"/>
      <w:overflowPunct w:val="true"/>
      <w:textAlignment w:val="auto"/>
    </w:pPr>
    <w:rPr/>
  </w:style>
  <w:style w:type="paragraph" w:styleId="Nivel01" w:customStyle="1">
    <w:name w:val="Nivel 01"/>
    <w:basedOn w:val="Heading1"/>
    <w:next w:val="Normal"/>
    <w:qFormat/>
    <w:pPr>
      <w:keepLines/>
      <w:numPr>
        <w:ilvl w:val="0"/>
        <w:numId w:val="5"/>
      </w:numPr>
      <w:tabs>
        <w:tab w:val="clear" w:pos="708"/>
        <w:tab w:val="left" w:pos="567" w:leader="none"/>
      </w:tabs>
      <w:suppressAutoHyphens w:val="false"/>
      <w:spacing w:before="240" w:after="0"/>
      <w:ind w:hanging="0" w:left="0"/>
      <w:outlineLvl w:val="9"/>
    </w:pPr>
    <w:rPr>
      <w:rFonts w:ascii="Arial" w:hAnsi="Arial" w:eastAsia="MS Gothic;ＭＳ ゴシック" w:cs="Arial"/>
      <w:b/>
      <w:bCs/>
      <w:sz w:val="20"/>
    </w:rPr>
  </w:style>
  <w:style w:type="paragraph" w:styleId="Nivel2" w:customStyle="1">
    <w:name w:val="Nivel 2"/>
    <w:basedOn w:val="Normal"/>
    <w:qFormat/>
    <w:pPr>
      <w:tabs>
        <w:tab w:val="clear" w:pos="708"/>
        <w:tab w:val="left" w:pos="0" w:leader="none"/>
      </w:tabs>
      <w:suppressAutoHyphens w:val="false"/>
      <w:overflowPunct w:val="true"/>
      <w:spacing w:lineRule="auto" w:line="276" w:before="120" w:after="120"/>
      <w:jc w:val="both"/>
      <w:textAlignment w:val="auto"/>
    </w:pPr>
    <w:rPr>
      <w:rFonts w:ascii="Arial" w:hAnsi="Arial" w:eastAsia="MS Mincho;ＭＳ 明朝" w:cs="Arial"/>
      <w:color w:val="000000"/>
    </w:rPr>
  </w:style>
  <w:style w:type="paragraph" w:styleId="Nivel3" w:customStyle="1">
    <w:name w:val="Nivel 3"/>
    <w:basedOn w:val="Normal"/>
    <w:qFormat/>
    <w:pPr>
      <w:tabs>
        <w:tab w:val="clear" w:pos="708"/>
        <w:tab w:val="left" w:pos="0" w:leader="none"/>
      </w:tabs>
      <w:suppressAutoHyphens w:val="false"/>
      <w:overflowPunct w:val="true"/>
      <w:spacing w:lineRule="auto" w:line="276" w:before="120" w:after="120"/>
      <w:ind w:left="284"/>
      <w:jc w:val="both"/>
      <w:textAlignment w:val="auto"/>
    </w:pPr>
    <w:rPr>
      <w:rFonts w:ascii="Arial" w:hAnsi="Arial" w:eastAsia="MS Mincho;ＭＳ 明朝" w:cs="Arial"/>
      <w:color w:val="000000"/>
    </w:rPr>
  </w:style>
  <w:style w:type="paragraph" w:styleId="Nivel4" w:customStyle="1">
    <w:name w:val="Nivel 4"/>
    <w:basedOn w:val="Nivel3"/>
    <w:qFormat/>
    <w:pPr>
      <w:ind w:left="567"/>
    </w:pPr>
    <w:rPr/>
  </w:style>
  <w:style w:type="paragraph" w:styleId="Nivel5" w:customStyle="1">
    <w:name w:val="Nivel 5"/>
    <w:basedOn w:val="Nivel4"/>
    <w:qFormat/>
    <w:pPr>
      <w:ind w:left="851"/>
    </w:pPr>
    <w:rPr/>
  </w:style>
  <w:style w:type="paragraph" w:styleId="11TR">
    <w:name w:val="1.1 TR"/>
    <w:basedOn w:val="ListParagraph"/>
    <w:qFormat/>
    <w:pPr>
      <w:numPr>
        <w:ilvl w:val="1"/>
        <w:numId w:val="3"/>
      </w:numPr>
      <w:spacing w:lineRule="auto" w:line="240" w:before="0" w:after="0"/>
      <w:jc w:val="both"/>
    </w:pPr>
    <w:rPr>
      <w:rFonts w:ascii="Arial" w:hAnsi="Arial" w:cs="Arial"/>
      <w:sz w:val="24"/>
      <w:szCs w:val="24"/>
    </w:rPr>
  </w:style>
  <w:style w:type="paragraph" w:styleId="ITENSDOCONTRATO">
    <w:name w:val="ITENS DO CONTRATO"/>
    <w:basedOn w:val="11TR"/>
    <w:qFormat/>
    <w:pPr>
      <w:numPr>
        <w:ilvl w:val="0"/>
        <w:numId w:val="0"/>
      </w:numPr>
      <w:spacing w:lineRule="auto" w:line="360"/>
      <w:ind w:left="720"/>
    </w:pPr>
    <w:rPr>
      <w:rFonts w:eastAsia="Calibri"/>
      <w:bCs/>
      <w:sz w:val="22"/>
    </w:rPr>
  </w:style>
  <w:style w:type="paragraph" w:styleId="CLUSULA">
    <w:name w:val="CLÁUSULA"/>
    <w:basedOn w:val="ITENSDOCONTRATO"/>
    <w:qFormat/>
    <w:pPr/>
    <w:rPr>
      <w:b/>
    </w:rPr>
  </w:style>
  <w:style w:type="paragraph" w:styleId="PargrafodaLista">
    <w:name w:val="Parágrafo da Lista"/>
    <w:basedOn w:val="Normal"/>
    <w:qFormat/>
    <w:pPr>
      <w:spacing w:lineRule="auto" w:line="276" w:before="0" w:after="200"/>
      <w:ind w:hanging="0" w:left="720" w:right="0"/>
      <w:contextualSpacing/>
    </w:pPr>
    <w:rPr>
      <w:rFonts w:ascii="Calibri" w:hAnsi="Calibri" w:eastAsia="Calibri" w:cs="Calibri"/>
      <w:sz w:val="22"/>
      <w:szCs w:val="22"/>
    </w:rPr>
  </w:style>
  <w:style w:type="numbering" w:styleId="Semlista" w:default="1">
    <w:name w:val="Sem lista"/>
    <w:uiPriority w:val="99"/>
    <w:semiHidden/>
    <w:unhideWhenUsed/>
    <w:qFormat/>
  </w:style>
  <w:style w:type="numbering" w:styleId="WW8Num1" w:customStyle="1">
    <w:name w:val="WW8Num1"/>
    <w:qFormat/>
  </w:style>
  <w:style w:type="numbering" w:styleId="WW8Num2" w:customStyle="1">
    <w:name w:val="WW8Num2"/>
    <w:qFormat/>
  </w:style>
  <w:style w:type="numbering" w:styleId="WW8Num3" w:customStyle="1">
    <w:name w:val="WW8Num3"/>
    <w:qFormat/>
  </w:style>
  <w:style w:type="numbering" w:styleId="WW8Num4" w:customStyle="1">
    <w:name w:val="WW8Num4"/>
    <w:qFormat/>
  </w:style>
  <w:style w:type="numbering" w:styleId="WW8Num5" w:customStyle="1">
    <w:name w:val="WW8Num5"/>
    <w:qFormat/>
  </w:style>
  <w:style w:type="numbering" w:styleId="WW8Num6" w:customStyle="1">
    <w:name w:val="WW8Num6"/>
    <w:qFormat/>
  </w:style>
  <w:style w:type="numbering" w:styleId="WW8Num7" w:customStyle="1">
    <w:name w:val="WW8Num7"/>
    <w:qFormat/>
  </w:style>
  <w:style w:type="numbering" w:styleId="WW8Num8" w:customStyle="1">
    <w:name w:val="WW8Num8"/>
    <w:qFormat/>
  </w:style>
  <w:style w:type="numbering" w:styleId="WW8Num9" w:customStyle="1">
    <w:name w:val="WW8Num9"/>
    <w:qFormat/>
  </w:style>
  <w:style w:type="numbering" w:styleId="WW8Num10" w:customStyle="1">
    <w:name w:val="WW8Num10"/>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
</Relationships>
</file>

<file path=word/_rels/footer2.xml.rels><?xml version="1.0" encoding="UTF-8"?>
<Relationships xmlns="http://schemas.openxmlformats.org/package/2006/relationships"><Relationship Id="rId1" Type="http://schemas.openxmlformats.org/officeDocument/2006/relationships/hyperlink" Target="http://www.saogabriel.es.gov.br/" TargetMode="External"/>
</Relationships>
</file>

<file path=word/_rels/footer3.xml.rels><?xml version="1.0" encoding="UTF-8"?>
<Relationships xmlns="http://schemas.openxmlformats.org/package/2006/relationships"><Relationship Id="rId1" Type="http://schemas.openxmlformats.org/officeDocument/2006/relationships/hyperlink" Target="http://www.saogabriel.es.gov.br/" TargetMode="Externa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581</TotalTime>
  <Application>LibreOffice/24.2.7.2$Windows_X86_64 LibreOffice_project/ee3885777aa7032db5a9b65deec9457448a91162</Application>
  <AppVersion>15.0000</AppVersion>
  <Pages>6</Pages>
  <Words>2835</Words>
  <Characters>16243</Characters>
  <CharactersWithSpaces>18944</CharactersWithSpaces>
  <Paragraphs>138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2025-09-17T08:39:00Z</dcterms:created>
  <dc:creator>fabiano</dc:creator>
  <dc:description/>
  <dc:language>pt-BR</dc:language>
  <cp:lastModifiedBy/>
  <cp:lastPrinted>2026-01-07T13:04:50Z</cp:lastPrinted>
  <dcterms:modified xsi:type="dcterms:W3CDTF">2026-05-14T14:36:20Z</dcterms:modified>
  <cp:revision>34</cp:revision>
  <dc:subject/>
  <dc:title>E D I T A L</dc:title>
</cp:coreProperties>
</file>

<file path=docProps/custom.xml><?xml version="1.0" encoding="utf-8"?>
<Properties xmlns="http://schemas.openxmlformats.org/officeDocument/2006/custom-properties" xmlns:vt="http://schemas.openxmlformats.org/officeDocument/2006/docPropsVTypes"/>
</file>